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700" w:hanging="20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00" w:hanging="2808"/>
        <w:spacing w:after="0" w:line="500" w:lineRule="auto"/>
        <w:tabs>
          <w:tab w:leader="none" w:pos="1313"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214"/>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920" w:hanging="209"/>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5"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001-42551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 6-2, Level 9, Equatorial Plaza,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Jalan Sultan Ismail, 50250 Kuala Lumpur, Malaysia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Ng Chen Lok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+603-3310 0089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 6-2, Level 9, Equatorial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Jalan Sultan Ismail, 50250 Kuala Lumpur, Malaysia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ordinary shares, no par value per share</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SAGT</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17,650,000 Class A Ordinary Shares and 2,000,000 Class B Ordinary Shares issued and outstanding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35"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337" w:lineRule="exact"/>
        <w:rPr>
          <w:sz w:val="20"/>
          <w:szCs w:val="20"/>
          <w:color w:val="auto"/>
        </w:rPr>
      </w:pPr>
    </w:p>
    <w:p>
      <w:pPr>
        <w:ind w:left="10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11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jc w:val="center"/>
        <w:ind w:right="11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880" w:space="720"/>
            <w:col w:w="2640" w:space="720"/>
            <w:col w:w="3280"/>
          </w:cols>
          <w:pgMar w:left="320" w:top="877" w:right="339" w:bottom="1440" w:gutter="0" w:footer="0" w:header="0"/>
          <w:type w:val="continuous"/>
        </w:sectPr>
      </w:pPr>
    </w:p>
    <w:p>
      <w:pPr>
        <w:spacing w:after="0" w:line="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type w:val="continuous"/>
        </w:sectPr>
      </w:pPr>
    </w:p>
    <w:p>
      <w:pPr>
        <w:spacing w:after="0" w:line="184" w:lineRule="exact"/>
        <w:rPr>
          <w:sz w:val="20"/>
          <w:szCs w:val="20"/>
          <w:color w:val="auto"/>
        </w:rPr>
      </w:pPr>
    </w:p>
    <w:p>
      <w:pPr>
        <w:ind w:left="60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Financial Reporting Standards as issued</w:t>
      </w:r>
    </w:p>
    <w:p>
      <w:pPr>
        <w:spacing w:after="0" w:line="27" w:lineRule="exact"/>
        <w:rPr>
          <w:sz w:val="20"/>
          <w:szCs w:val="20"/>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86" w:lineRule="exact"/>
        <w:rPr>
          <w:sz w:val="20"/>
          <w:szCs w:val="20"/>
          <w:color w:val="auto"/>
        </w:rPr>
      </w:pPr>
    </w:p>
    <w:p>
      <w:pPr>
        <w:sectPr>
          <w:pgSz w:w="11900" w:h="16838" w:orient="portrait"/>
          <w:cols w:equalWidth="0" w:num="3">
            <w:col w:w="3440" w:space="720"/>
            <w:col w:w="5380" w:space="720"/>
            <w:col w:w="980"/>
          </w:cols>
          <w:pgMar w:left="320" w:top="877" w:right="339" w:bottom="1440" w:gutter="0" w:footer="0" w:header="0"/>
          <w:type w:val="continuous"/>
        </w:sectPr>
      </w:pPr>
    </w:p>
    <w:p>
      <w:pPr>
        <w:spacing w:after="0" w:line="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ind w:left="968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w:t>
      </w: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Securities Exchange Act of 1934).</w:t>
      </w:r>
    </w:p>
    <w:p>
      <w:pPr>
        <w:spacing w:after="0" w:line="121"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21"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36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00" w:type="dxa"/>
            <w:vAlign w:val="bottom"/>
            <w:tcBorders>
              <w:bottom w:val="single" w:sz="8" w:color="0000EE"/>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420" w:type="dxa"/>
            <w:vAlign w:val="bottom"/>
            <w:tcBorders>
              <w:bottom w:val="single" w:sz="8" w:color="CCEEFF"/>
            </w:tcBorders>
            <w:gridSpan w:val="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dentity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dvisers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2.</w:t>
            </w:r>
          </w:p>
        </w:tc>
        <w:tc>
          <w:tcPr>
            <w:tcW w:w="29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ffer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tatistics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xpected</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imetable</w:t>
            </w:r>
          </w:p>
        </w:tc>
        <w:tc>
          <w:tcPr>
            <w:tcW w:w="6520" w:type="dxa"/>
            <w:vAlign w:val="bottom"/>
            <w:tcBorders>
              <w:bottom w:val="single" w:sz="8" w:color="CCEEFF"/>
            </w:tcBorders>
            <w:gridSpan w:val="1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3.</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K</w:t>
            </w:r>
            <w:r>
              <w:rPr>
                <w:rFonts w:ascii="Times New Roman" w:cs="Times New Roman" w:eastAsia="Times New Roman" w:hAnsi="Times New Roman"/>
                <w:sz w:val="12"/>
                <w:szCs w:val="12"/>
                <w:color w:val="0000EE"/>
              </w:rPr>
              <w:t>ey</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w:t>
            </w:r>
          </w:p>
        </w:tc>
        <w:tc>
          <w:tcPr>
            <w:tcW w:w="2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nformation on the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ompany</w:t>
            </w:r>
          </w:p>
        </w:tc>
        <w:tc>
          <w:tcPr>
            <w:tcW w:w="740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4A.</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2"/>
                <w:szCs w:val="12"/>
                <w:color w:val="0000EE"/>
              </w:rPr>
              <w:t>nresolved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taff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5.</w:t>
            </w:r>
          </w:p>
        </w:tc>
        <w:tc>
          <w:tcPr>
            <w:tcW w:w="94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perating and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eview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rospects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5"/>
        </w:trPr>
        <w:tc>
          <w:tcPr>
            <w:tcW w:w="1020" w:type="dxa"/>
            <w:vAlign w:val="bottom"/>
            <w:tcBorders>
              <w:top w:val="single" w:sz="8" w:color="CCEEFF"/>
            </w:tcBorders>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6.</w:t>
            </w:r>
          </w:p>
        </w:tc>
        <w:tc>
          <w:tcPr>
            <w:tcW w:w="3360" w:type="dxa"/>
            <w:vAlign w:val="bottom"/>
            <w:tcBorders>
              <w:top w:val="single" w:sz="8" w:color="0000EE"/>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irectors</w:t>
            </w:r>
            <w:r>
              <w:rPr>
                <w:rFonts w:ascii="Times New Roman" w:cs="Times New Roman" w:eastAsia="Times New Roman" w:hAnsi="Times New Roman"/>
                <w:sz w:val="18"/>
                <w:szCs w:val="18"/>
                <w:color w:val="0000EE"/>
              </w:rPr>
              <w:t>, S</w:t>
            </w:r>
            <w:r>
              <w:rPr>
                <w:rFonts w:ascii="Times New Roman" w:cs="Times New Roman" w:eastAsia="Times New Roman" w:hAnsi="Times New Roman"/>
                <w:sz w:val="12"/>
                <w:szCs w:val="12"/>
                <w:color w:val="0000EE"/>
              </w:rPr>
              <w:t>enior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anagement and</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mployees</w:t>
            </w:r>
          </w:p>
        </w:tc>
        <w:tc>
          <w:tcPr>
            <w:tcW w:w="6080" w:type="dxa"/>
            <w:vAlign w:val="bottom"/>
            <w:tcBorders>
              <w:top w:val="single" w:sz="8" w:color="CCEEFF"/>
            </w:tcBorders>
            <w:gridSpan w:val="11"/>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7.</w:t>
            </w:r>
          </w:p>
        </w:tc>
        <w:tc>
          <w:tcPr>
            <w:tcW w:w="94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ajor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hareholders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elated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arty</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ransactions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6"/>
        </w:trPr>
        <w:tc>
          <w:tcPr>
            <w:tcW w:w="1020" w:type="dxa"/>
            <w:vAlign w:val="bottom"/>
            <w:tcBorders>
              <w:top w:val="single" w:sz="8" w:color="CCEEFF"/>
            </w:tcBorders>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8.</w:t>
            </w:r>
          </w:p>
        </w:tc>
        <w:tc>
          <w:tcPr>
            <w:tcW w:w="390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5540" w:type="dxa"/>
            <w:vAlign w:val="bottom"/>
            <w:tcBorders>
              <w:top w:val="single" w:sz="8" w:color="CCEEFF"/>
            </w:tcBorders>
            <w:gridSpan w:val="8"/>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9.</w:t>
            </w:r>
          </w:p>
        </w:tc>
        <w:tc>
          <w:tcPr>
            <w:tcW w:w="16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w:t>
            </w:r>
            <w:r>
              <w:rPr>
                <w:rFonts w:ascii="Times New Roman" w:cs="Times New Roman" w:eastAsia="Times New Roman" w:hAnsi="Times New Roman"/>
                <w:sz w:val="12"/>
                <w:szCs w:val="12"/>
                <w:color w:val="0000EE"/>
              </w:rPr>
              <w:t>he</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ffer and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p>
        </w:tc>
        <w:tc>
          <w:tcPr>
            <w:tcW w:w="7840" w:type="dxa"/>
            <w:vAlign w:val="bottom"/>
            <w:tcBorders>
              <w:bottom w:val="single" w:sz="8" w:color="CCEEFF"/>
            </w:tcBorders>
            <w:gridSpan w:val="2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6"/>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10.</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dditional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11.</w:t>
            </w:r>
          </w:p>
        </w:tc>
        <w:tc>
          <w:tcPr>
            <w:tcW w:w="45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w:t>
            </w:r>
            <w:r>
              <w:rPr>
                <w:rFonts w:ascii="Times New Roman" w:cs="Times New Roman" w:eastAsia="Times New Roman" w:hAnsi="Times New Roman"/>
                <w:sz w:val="12"/>
                <w:szCs w:val="12"/>
                <w:color w:val="0000EE"/>
              </w:rPr>
              <w:t>uantitative and</w:t>
            </w:r>
            <w:r>
              <w:rPr>
                <w:rFonts w:ascii="Times New Roman" w:cs="Times New Roman" w:eastAsia="Times New Roman" w:hAnsi="Times New Roman"/>
                <w:sz w:val="18"/>
                <w:szCs w:val="18"/>
                <w:color w:val="0000EE"/>
              </w:rPr>
              <w:t xml:space="preserve"> Q</w:t>
            </w:r>
            <w:r>
              <w:rPr>
                <w:rFonts w:ascii="Times New Roman" w:cs="Times New Roman" w:eastAsia="Times New Roman" w:hAnsi="Times New Roman"/>
                <w:sz w:val="12"/>
                <w:szCs w:val="12"/>
                <w:color w:val="0000EE"/>
              </w:rPr>
              <w:t>ualitative</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isclosures</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bout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arket</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isk</w:t>
            </w:r>
          </w:p>
        </w:tc>
        <w:tc>
          <w:tcPr>
            <w:tcW w:w="494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12.</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escription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ther than</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0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02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13.</w:t>
            </w:r>
          </w:p>
        </w:tc>
        <w:tc>
          <w:tcPr>
            <w:tcW w:w="94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efaults</w:t>
            </w:r>
            <w:r>
              <w:rPr>
                <w:rFonts w:ascii="Times New Roman" w:cs="Times New Roman" w:eastAsia="Times New Roman" w:hAnsi="Times New Roman"/>
                <w:sz w:val="18"/>
                <w:szCs w:val="18"/>
                <w:color w:val="0000EE"/>
              </w:rPr>
              <w:t>, D</w:t>
            </w:r>
            <w:r>
              <w:rPr>
                <w:rFonts w:ascii="Times New Roman" w:cs="Times New Roman" w:eastAsia="Times New Roman" w:hAnsi="Times New Roman"/>
                <w:sz w:val="12"/>
                <w:szCs w:val="12"/>
                <w:color w:val="0000EE"/>
              </w:rPr>
              <w:t>ividend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rrearages and</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elinquencies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14.</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aterial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2"/>
                <w:szCs w:val="12"/>
                <w:color w:val="0000EE"/>
              </w:rPr>
              <w:t>odifications to the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 of</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ecurity</w:t>
            </w:r>
            <w:r>
              <w:rPr>
                <w:rFonts w:ascii="Times New Roman" w:cs="Times New Roman" w:eastAsia="Times New Roman" w:hAnsi="Times New Roman"/>
                <w:sz w:val="18"/>
                <w:szCs w:val="18"/>
                <w:color w:val="0000EE"/>
              </w:rPr>
              <w:t xml:space="preserve"> H</w:t>
            </w:r>
            <w:r>
              <w:rPr>
                <w:rFonts w:ascii="Times New Roman" w:cs="Times New Roman" w:eastAsia="Times New Roman" w:hAnsi="Times New Roman"/>
                <w:sz w:val="12"/>
                <w:szCs w:val="12"/>
                <w:color w:val="0000EE"/>
              </w:rPr>
              <w:t>olders and</w:t>
            </w:r>
            <w:r>
              <w:rPr>
                <w:rFonts w:ascii="Times New Roman" w:cs="Times New Roman" w:eastAsia="Times New Roman" w:hAnsi="Times New Roman"/>
                <w:sz w:val="18"/>
                <w:szCs w:val="18"/>
                <w:color w:val="0000EE"/>
              </w:rPr>
              <w:t xml:space="preserve"> U</w:t>
            </w:r>
            <w:r>
              <w:rPr>
                <w:rFonts w:ascii="Times New Roman" w:cs="Times New Roman" w:eastAsia="Times New Roman" w:hAnsi="Times New Roman"/>
                <w:sz w:val="12"/>
                <w:szCs w:val="12"/>
                <w:color w:val="0000EE"/>
              </w:rPr>
              <w:t>se of</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roceeds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15.</w:t>
            </w:r>
          </w:p>
        </w:tc>
        <w:tc>
          <w:tcPr>
            <w:tcW w:w="18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ontrols and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rocedures</w:t>
            </w:r>
          </w:p>
        </w:tc>
        <w:tc>
          <w:tcPr>
            <w:tcW w:w="7580" w:type="dxa"/>
            <w:vAlign w:val="bottom"/>
            <w:tcBorders>
              <w:bottom w:val="single" w:sz="8" w:color="CCEEFF"/>
            </w:tcBorders>
            <w:gridSpan w:val="1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w:t>
            </w:r>
            <w:r>
              <w:rPr>
                <w:rFonts w:ascii="Times New Roman" w:cs="Times New Roman" w:eastAsia="Times New Roman" w:hAnsi="Times New Roman"/>
                <w:sz w:val="12"/>
                <w:szCs w:val="12"/>
                <w:color w:val="0000EE"/>
              </w:rPr>
              <w:t>eserved</w:t>
            </w:r>
            <w:r>
              <w:rPr>
                <w:rFonts w:ascii="Times New Roman" w:cs="Times New Roman" w:eastAsia="Times New Roman" w:hAnsi="Times New Roman"/>
                <w:sz w:val="18"/>
                <w:szCs w:val="18"/>
                <w:color w:val="0000EE"/>
              </w:rPr>
              <w:t>]</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16A.</w:t>
            </w:r>
          </w:p>
        </w:tc>
        <w:tc>
          <w:tcPr>
            <w:tcW w:w="25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xpert</w:t>
            </w:r>
          </w:p>
        </w:tc>
        <w:tc>
          <w:tcPr>
            <w:tcW w:w="6940" w:type="dxa"/>
            <w:vAlign w:val="bottom"/>
            <w:tcBorders>
              <w:bottom w:val="single" w:sz="8" w:color="CCEEFF"/>
            </w:tcBorders>
            <w:gridSpan w:val="1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176"/>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16B.</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ode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thics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16C.</w:t>
            </w:r>
          </w:p>
        </w:tc>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rincipal</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ees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ervices</w:t>
            </w:r>
          </w:p>
        </w:tc>
        <w:tc>
          <w:tcPr>
            <w:tcW w:w="656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16D.</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xemptions from the</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isting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tandards for</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udit</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ommittees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16E.</w:t>
            </w:r>
          </w:p>
        </w:tc>
        <w:tc>
          <w:tcPr>
            <w:tcW w:w="51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2"/>
                <w:szCs w:val="12"/>
                <w:color w:val="0000EE"/>
              </w:rPr>
              <w:t>urchases of</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quity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ecurities by the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ssuer and</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ffiliated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urchasers</w:t>
            </w:r>
          </w:p>
        </w:tc>
        <w:tc>
          <w:tcPr>
            <w:tcW w:w="428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16F.</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hange in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egistrant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2"/>
                <w:szCs w:val="12"/>
                <w:color w:val="0000EE"/>
              </w:rPr>
              <w:t>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ertifying</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ccountant</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16G.</w:t>
            </w:r>
          </w:p>
        </w:tc>
        <w:tc>
          <w:tcPr>
            <w:tcW w:w="16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orporate</w:t>
            </w:r>
            <w:r>
              <w:rPr>
                <w:rFonts w:ascii="Times New Roman" w:cs="Times New Roman" w:eastAsia="Times New Roman" w:hAnsi="Times New Roman"/>
                <w:sz w:val="18"/>
                <w:szCs w:val="18"/>
                <w:color w:val="0000EE"/>
              </w:rPr>
              <w:t xml:space="preserve"> G</w:t>
            </w:r>
            <w:r>
              <w:rPr>
                <w:rFonts w:ascii="Times New Roman" w:cs="Times New Roman" w:eastAsia="Times New Roman" w:hAnsi="Times New Roman"/>
                <w:sz w:val="12"/>
                <w:szCs w:val="12"/>
                <w:color w:val="0000EE"/>
              </w:rPr>
              <w:t>overnance</w:t>
            </w:r>
          </w:p>
        </w:tc>
        <w:tc>
          <w:tcPr>
            <w:tcW w:w="7760" w:type="dxa"/>
            <w:vAlign w:val="bottom"/>
            <w:tcBorders>
              <w:bottom w:val="single" w:sz="8" w:color="CCEEFF"/>
            </w:tcBorders>
            <w:gridSpan w:val="1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16H.</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ine</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afety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2"/>
                <w:szCs w:val="12"/>
                <w:color w:val="0000EE"/>
              </w:rPr>
              <w:t>isclosure</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16I.</w:t>
            </w:r>
          </w:p>
        </w:tc>
        <w:tc>
          <w:tcPr>
            <w:tcW w:w="502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isclosure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2"/>
                <w:szCs w:val="12"/>
                <w:color w:val="0000EE"/>
              </w:rPr>
              <w:t>oreign</w:t>
            </w:r>
            <w:r>
              <w:rPr>
                <w:rFonts w:ascii="Times New Roman" w:cs="Times New Roman" w:eastAsia="Times New Roman" w:hAnsi="Times New Roman"/>
                <w:sz w:val="18"/>
                <w:szCs w:val="18"/>
                <w:color w:val="0000EE"/>
              </w:rPr>
              <w:t xml:space="preserve"> J</w:t>
            </w:r>
            <w:r>
              <w:rPr>
                <w:rFonts w:ascii="Times New Roman" w:cs="Times New Roman" w:eastAsia="Times New Roman" w:hAnsi="Times New Roman"/>
                <w:sz w:val="12"/>
                <w:szCs w:val="12"/>
                <w:color w:val="0000EE"/>
              </w:rPr>
              <w:t>urisdictions that</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revent</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2"/>
                <w:szCs w:val="12"/>
                <w:color w:val="0000EE"/>
              </w:rPr>
              <w:t>nspections</w:t>
            </w:r>
            <w:r>
              <w:rPr>
                <w:rFonts w:ascii="Times New Roman" w:cs="Times New Roman" w:eastAsia="Times New Roman" w:hAnsi="Times New Roman"/>
                <w:sz w:val="18"/>
                <w:szCs w:val="18"/>
                <w:color w:val="0000EE"/>
              </w:rPr>
              <w:t>.</w:t>
            </w:r>
          </w:p>
        </w:tc>
        <w:tc>
          <w:tcPr>
            <w:tcW w:w="442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176"/>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16J.</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w:t>
            </w:r>
            <w:r>
              <w:rPr>
                <w:rFonts w:ascii="Times New Roman" w:cs="Times New Roman" w:eastAsia="Times New Roman" w:hAnsi="Times New Roman"/>
                <w:sz w:val="12"/>
                <w:szCs w:val="12"/>
                <w:color w:val="0000EE"/>
              </w:rPr>
              <w:t>nsider</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rading</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olicies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16K.</w:t>
            </w:r>
          </w:p>
        </w:tc>
        <w:tc>
          <w:tcPr>
            <w:tcW w:w="94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ybersecurity</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17.</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18.</w:t>
            </w:r>
          </w:p>
        </w:tc>
        <w:tc>
          <w:tcPr>
            <w:tcW w:w="1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w:t>
            </w:r>
            <w:r>
              <w:rPr>
                <w:rFonts w:ascii="Times New Roman" w:cs="Times New Roman" w:eastAsia="Times New Roman" w:hAnsi="Times New Roman"/>
                <w:sz w:val="12"/>
                <w:szCs w:val="12"/>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tatements</w:t>
            </w:r>
          </w:p>
        </w:tc>
        <w:tc>
          <w:tcPr>
            <w:tcW w:w="7900" w:type="dxa"/>
            <w:vAlign w:val="bottom"/>
            <w:tcBorders>
              <w:bottom w:val="single" w:sz="8" w:color="CCEEFF"/>
            </w:tcBorders>
            <w:gridSpan w:val="2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175"/>
        </w:trPr>
        <w:tc>
          <w:tcPr>
            <w:tcW w:w="102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tem</w:t>
            </w:r>
            <w:r>
              <w:rPr>
                <w:rFonts w:ascii="Times New Roman" w:cs="Times New Roman" w:eastAsia="Times New Roman" w:hAnsi="Times New Roman"/>
                <w:sz w:val="18"/>
                <w:szCs w:val="18"/>
                <w:color w:val="auto"/>
              </w:rPr>
              <w:t xml:space="preserve"> 19.</w:t>
            </w:r>
          </w:p>
        </w:tc>
        <w:tc>
          <w:tcPr>
            <w:tcW w:w="94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xhibits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annual report, unless the context indicates otherwise, references to “we,” “us,” “our,” “Sagtec Global,” “our Company,” and the “Company” are to Sagtec Global Limited, a British Virgin Islands business company, and when describing Sagtec’s consolidated financial information for the fiscal years December 31, 2025, 2024 and 2023, also include Sagtec’s subsidiaries.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“Memorandum and Articles of Association” means the memorandum and articles of association of our Company as amended and restated by the Company on 20 February, 2025, as further amended or amended and restated from time to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Saturday, Sunday or public holiday in the U.S.) on which licensed banks in the U.S. are generally open for normal business to the public.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“BVI” means the British Virgin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“CAGR” means compound annual growth rate.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 Technologies” means CL Technologies (International) Sdn Bhd, a company incorporated in Malaysia on February 14, 2019, and a majority-owned subsidiary of our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means the Class A Ordinary Shares of no par value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Ordinary Shares” means the Class B Ordinary Shares of no par value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“our Company,” “Sagtec Global,” or “Sagtec (BVI)” means SAGTEC GLOBAL LIMITED (BVI Company No. 2135152), an exempted company incorporated in the British Virgin Islands with limited liability on October 31, 2023, and a holding company for Sagtec Group and CL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means the means the BVI Business Companies Act, (Revised Edition) 2020 of the BVI.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means the Coronavirus Disease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means the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United States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Directors” means the executive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means the executive officers of our Company as at the date of this annual report, unless otherwise stated.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“Group,” “our Group,” “we,” “us,” or “our” means our Company and its subsidiaries or any of them, or where the context so requires, in respect of the period before our Company becoming the holding company of its present subsidiaries, such subsidiaries as if they were subsidiaries of our Company at the relevant time or the businesses which have since been acquired or carried on by them or as the case may be their predecessors.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means the independent non-executive directors of our Company as at the date of this annual report, unless otherwise stated.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“Independent Third Party” means a person or company who or which is independent of and is not a 5% owner of, does not control and is not controlled by or under common control with any 5% owner and is not the spouse or descendant (by birth or adoption) of any 5% owner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 means the Ministry of Manpower of Malaysia.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Subsidiaries” means CL Technologies and Sagtec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“RM” or “MYR” or “Malaysian Ringgit” means Malaysian Ringgit(s), the lawful currency of Malaysia.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“Sagtec Group” means Sagtec Group Sdn Bhd, a company incorporated in Malaysia on June 11, 2018, and a majority-owned subsidiary of our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2019, Sagtec changed its name from Signage Alliance Group Sdn Bhd to Sagtec Group Sdn Bhd.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or “Securities and Exchange Commission” means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 Companies Act” means the Companies Act 2016 of Malaysia, as amended, supplemented or modified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or “USD” or “United States Dollars” means United States dollar(s), the lawful currency of the United States of America.</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Sagtec Global is a holding company. Our business is conducted by our Operating Subsidiaries, in Malaysia using MYR. Our consolidated financial statements are presented in U.S. dollars. In this annual report, we refer to assets, obligations, commitments, and liabilities in our consolidated financial statements in U.S. dollars. These dollar references are based on the exchange rate of MYR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 This annual report contains translations of certain MYR amounts into U.S. dollar amounts at specified rates solely for the convenience of the reader. The following table outlines the currency exchange rates that were used in creating the consolidated financial statements in this report: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Year-end spot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4.4704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w:t>
            </w: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4.2829</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4.5748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4.5679</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market data and forecasts used throughout this annual report were obtained from market research, reports of governmental and international agencies and industry publications, gathered by the Company. This information involves a number of assumptions and limitations, and you are cautioned not to give undue weight to such estimates. We did not directly or indirectly sponsor or participate in the publication of such materials, and these materials are not incorporated in this annual report other than to the extent specifically cited in this annual report. We have sought to provide current information in this annual report and believe that the statistics provided in this annual report remain up-to-date and reliable, and these materials are not incorporated in this annual report other than to the extent specifically cited in this annual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reflect our current expectations and views of future events, all of which are subject to risks and uncertainties.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annual report.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spacing w:after="0" w:line="1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 and service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our customers, including consolidated account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 - 3.D. Risk Factors.”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under the federal securities laws, we do not have any intention or obligation to update publicly any forward-looking statements after the distribution of this annual report, whether as a result of new information, future events, changes in assumptions,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 I</w:t>
      </w:r>
      <w:r>
        <w:rPr>
          <w:rFonts w:ascii="Times New Roman" w:cs="Times New Roman" w:eastAsia="Times New Roman" w:hAnsi="Times New Roman"/>
          <w:sz w:val="12"/>
          <w:szCs w:val="12"/>
          <w:b w:val="1"/>
          <w:bCs w:val="1"/>
          <w:color w:val="auto"/>
        </w:rPr>
        <w:t>dentity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 O</w:t>
      </w:r>
      <w:r>
        <w:rPr>
          <w:rFonts w:ascii="Times New Roman" w:cs="Times New Roman" w:eastAsia="Times New Roman" w:hAnsi="Times New Roman"/>
          <w:sz w:val="12"/>
          <w:szCs w:val="12"/>
          <w:b w:val="1"/>
          <w:bCs w:val="1"/>
          <w:color w:val="auto"/>
        </w:rPr>
        <w:t>ffer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tatistics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xpected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3. K</w:t>
      </w:r>
      <w:r>
        <w:rPr>
          <w:rFonts w:ascii="Times New Roman" w:cs="Times New Roman" w:eastAsia="Times New Roman" w:hAnsi="Times New Roman"/>
          <w:sz w:val="12"/>
          <w:szCs w:val="12"/>
          <w:b w:val="1"/>
          <w:bCs w:val="1"/>
          <w:color w:val="auto"/>
        </w:rPr>
        <w:t>ey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 and Operations in Malaysia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incorporated in the British Virgin Islands pursuant to the BVI Business Companies Act (Revised Edition) 2020 of the British Virgin Islands. As a holding company with no operations, we conduct all of our operations through our majority owned subsidiaries in Malaysia. Investors in our Class A Ordinary Shares should be aware that they will not directly hold equity interests in our Malaysia subsidiaries, but rather only in Sagtec, the holding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holding company and depend on the receipt of dividends and other distributions from our subsidiaries to pay dividends on our Class A Ordinary Shares. An equal share of any distribution is paid by the Company in accordance with the Act and the Company's Memorandum and Articles of Association in respect of the Class A Ordinary Shares and Class B Ordinary Shares. Our board of directors has discretion regarding whether to declare or pay dividends. All dividends are subject to certain restrictions under BVI law and the Company’s Memorandum and Articles of Association, namely that:</w:t>
      </w:r>
    </w:p>
    <w:p>
      <w:pPr>
        <w:spacing w:after="0" w:line="3" w:lineRule="exact"/>
        <w:rPr>
          <w:sz w:val="20"/>
          <w:szCs w:val="20"/>
          <w:color w:val="auto"/>
        </w:rPr>
      </w:pPr>
    </w:p>
    <w:p>
      <w:pPr>
        <w:jc w:val="both"/>
        <w:ind w:firstLine="8"/>
        <w:spacing w:after="0" w:line="250"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must be authorized by board resolutions, by which our board of directors may authorise a distribution at any time and in any amount they think fit and set a record date (which may be before or after the date on which the board resolutions are passed) for determining the shareholders to be paid;</w:t>
      </w:r>
    </w:p>
    <w:p>
      <w:pPr>
        <w:jc w:val="both"/>
        <w:ind w:firstLine="8"/>
        <w:spacing w:after="0" w:line="252" w:lineRule="auto"/>
        <w:tabs>
          <w:tab w:leader="none" w:pos="2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only authorize payment of a dividend if they are satisfied (on reasonable grounds) that the value of the Company’s assets exceeds its liabilities and the Company is able to pay its debts as they fall due (the “Solvency Test”) immediately paying the dividend; and (c) if, after a dividend is authorized (but before it is paid), our board of directors cease to be satisfied (on reasonable grounds) that the Company will be able to satisfy the Solvency Test after the dividend is paid, then such dividend is deemed not to have been authorized. A distribution made to a shareholder at a time when the Company did not, immediately after the distribution, satisfy the Solvency Test may be recovered by the Company from the member unless (a) the member received the distribution in good faith and without knowledge of the Company’s failure to satisfy the Solvency Test; (b) the member has altered his or her position in reliance on the validity of the distribution; and (c) it would be unfair to require repayment in full or at all.</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See “Item 3. Key Information - 3.D. Risk Factors - Risks Related to our Class A Ordinary Shares - “</w:t>
      </w:r>
      <w:r>
        <w:rPr>
          <w:rFonts w:ascii="Times New Roman" w:cs="Times New Roman" w:eastAsia="Times New Roman" w:hAnsi="Times New Roman"/>
          <w:sz w:val="18"/>
          <w:szCs w:val="18"/>
          <w:i w:val="1"/>
          <w:iCs w:val="1"/>
          <w:color w:val="auto"/>
        </w:rPr>
        <w:t>As a company incorporated in the BVI, 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may face difficulties in protecting your interests, and your ability to protect your rights through U.S. courts may be limited, because we are incorporated under British Virgin Islands law,” and “Certain judgments obtained against us or our auditor by our shareholders may not be enforceable</w:t>
      </w:r>
      <w:r>
        <w:rPr>
          <w:rFonts w:ascii="Times New Roman" w:cs="Times New Roman" w:eastAsia="Times New Roman" w:hAnsi="Times New Roman"/>
          <w:sz w:val="18"/>
          <w:szCs w:val="18"/>
          <w:color w:val="auto"/>
        </w:rPr>
        <w:t>” and “Item 8. Financial Information - A. Consolidated Statements and Other Financial Information - Dividend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Our Being a “Controlled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Listing Rules as Mr. Ng Chen Lok, our Chairman of the Board, Executive Director and Chief Executive Officer, holds 36.63% of our total issued and outstanding Class A Ordinary Shares and 100% of our total issued and outstanding Class B Ordinary Shares and is able to exercise 80.72% of the total voting power of our issued and outstanding shares. For so long as we remain a “controlled company,” we are permitted to elect not to comply with certain corporate governance requirements. If we rely on these exemptions, you will not have the same protection afforded to shareholders of companies that are subject to these corporate governance requirements. While we presently plan to comply voluntarily with the corporate governance listing standards of the Nasdaq, we may choose to rely on the exemptions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Our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revenue during our last fiscal year, 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financial years of selected financial information (rather than five years) and only two years of audited financial statements (rather than three years), in addition to any required unaudited interim financial statements, with correspondingly reduced “Management’s Discussion and Analysis of Financial Condition and Results of Operations” disclosure;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of the Sarbanes-Oxley Act, on the effectiveness of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an emerging growth company. We will remain an emerging growth company until the earliest of (1) the last day of the fiscal year in which the fifth anniversary of the completion of this offering occurs, (2) the last day of the fiscal year in which we have total annual gross revenue of at least US$1.235 billion, (3) the date on which we are deemed to be a “large accelerated filer” under the Exchange Act, which means the market value of our Class A Ordinary Shares that are held by non-affiliates exceeds US$700.0 million as of the prior December 31, and (4) the date on which we have issued more than US$1.0 billion in non-convertible debt during the prior three-year period. We may choose to take advantage of any of the available exemptions. We have included two years of selected financial data in this annual report in reliance on the first exemption described above. Accordingly, the information contained herein may be different from the information you receive from other public companies in which you hold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Our Being a Foreign Private Issuer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76"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the SEC, of quarterly reports on Form 10-Q containing unaudited financial and other specified information, or current reports on Form 8-K, upon the occurrence of specified significant events.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as a company incorporated in the British Virgin Islands, we are permitted to adopt certain home country practices in relation to corporate governance matters that differ significantly from the corporate governance listing requirements of the Nasdaq. These practices may afford less protection to shareholders than they would enjoy if we complied fully with corporate governance listing requirements of the Nasdaq. We may rely on home country practice to be exempted from certain of the corporate governance requirements of the Nasdaq, namely (i) a majority of the Directors on our Board are not required to be independent Directors; (ii) there will not be a necessity to have regularly scheduled executive sessions with independent Directors; and (iii) there will be no requirement for the Company to obtain shareholder approval prior to an issuance of securities in connection with (a) the acquisition of stock or assets of another company; (b) equity-based compensation of officers, directors, employees or consultants; (c) a change of control; and (d) transactions other than public offerings. While we presently plan to comply voluntarily with the corporate governance listing standards of the Nasdaq, we may choose to rely on the exemptions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is a company incorporated with limited liability under the laws of the British Virgin Islands. We are incorporated in the British Virgin Islands because of certain benefits associated with being a British Virgin Islands company, such as political and economic stability, an effective judicial system, a favorable tax system, the absence of foreign exchange control or currency restrictions and the availability of professional and support services. However, the British Virgin Islands has a less developed body of securities laws as compared to the United States and provides less protection for investors. In addition, British Virgin Islands companies may not have standing to sue before the U.S. federal courts.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current operations are conducted outside of the United States and all of our current assets are located outside of the United States, with the majority of our operations and current assets being located in Malaysia. All of the Directors and Executive Officers of our Company and the auditor of our Company resides outside the United States and substantially all of their assets are located outside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As a result, it may not be possible for you to:</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the U.S. courts in any action, including actions under the civil liability provisions of U.S. securities laws;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have appointed Cogency Global Inc., 122 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 as our agent upon whom process may be served in any action brought against us under the securities laws of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Mourant Ozannes (BVI), our counsel as to British Virgin Islands law, has advised us that there is uncertainty as to whether the courts of the British Virgin Islands would (i) recognize or enforce judgments of the U.S. courts obtained against us or our Directors or Executive Officers that are predicated upon the civil liability provisions of the U.S. securities laws or any U.S. state; or (ii) entertain original actions brought in the British Virgin Islands against us or our Directors or Executive Officers that are predicated upon the U.S. securities laws or the securities laws of any U.S. state.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been advised by our BVI legal counsel, Mourant Ozannes (BVI), that the courts of the BVI are unlikely (i) to recognize or enforce against us judgments of courts of the United States predicated upon the civil liability provisions of the securities laws of the United States or any State; and (ii) in original actions brought in the BVI, to impose liabilities against us predicated upon the civil liability provisions of the securities laws of the United States or any State, insofar as the liabilities imposed by those provisions are penal in nature. Although there is no statutory enforcement in the BVI of judgments obtained in the United States, the courts of the BVI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BVI, such judgment must be final and conclusive and for a liquidated sum, and must not be in respect of taxes or a fine or penalty, inconsistent with a BVI judgment in respect of the same matter, impeachable on the grounds of fraud or obtained in a manner, and or be of a kind the enforcement of which is, contrary to natural justice or the public policy of the BVI (awards of punitive or multiple damages may well be held to be contrary to public policy). A BVI Court may stay enforcement proceedings if concurrent proceedings are being brought elsewhere. There is recent Privy Council authority (which is binding on the BVI Court) in the context of a reorganization plan approved by the New York Bankruptcy Court which suggests that due to the universal nature of bankruptcy/insolvency proceedings, foreign money judgments obtained in foreign bankruptcy/insolvency proceedings may be enforced without applying the principles outlined above. However, a more recent English Supreme Court authority (which is highly persuasive but not binding on the BVI Court), 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 traditional common law principles summarized above and held that foreign money judgments obtained in bankruptcy/insolvency proceedings should be enforced by applying the principles set out above, and not by the simple exercise of the courts’ discretion. We understand that there isn’t any BVI Court judgment or statute that conclusively resolves these conflicting approaches and it remains the case that the law regarding the enforcement of bankruptcy/insolvency related judgments is still in a state of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Malaysia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Chia, Ooi, Sun &amp; Co., our counsel as to Malaysian law, has further advised us that there are currently no statutes, treaties, or other forms of reciprocity between the United States and Malaysia providing for the mutual recognition and enforcement of court judgments. Under Malaysian laws, a foreign judgment cannot be directly or summarily enforced in Malaysia. The judgment must first be recognized by a Malaysian court either under applicable Malaysian laws or in accordance with common law principles. For Malaysian courts to accept the jurisdiction for recognition of a foreign judgment, the foreign country where the judgment is made must be a reciprocating country expressly specified and listed in the Reciprocal Enforcement of Judgments Act 1958. As the United States is not one of the countries specified under the statutory regime where a foreign judgment can be recognized and enforced in Malaysia, a judgment obtained in the United States must be enforced by commencing fresh proceedings in a Malaysian court. The requirements for a foreign judgment to be recognized and enforceable in Malaysia are: (i) the judgment must be a monetary judgment; (ii) the foreign court must have had jurisdiction accepted by a Malaysian court; (iii) the judgment was not obtained by fraud; (iv) the enforcement of the judgment must not contravene public policy in Malaysia; (v) the proceedings in which the judgment was obtained were not opposed to natural justice, and (vi) the judgment must be final and conclusive.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illustrates the corporate structure of Sagtec Global and its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154305</wp:posOffset>
            </wp:positionV>
            <wp:extent cx="4705985" cy="162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598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Subsidiaries and Business Functions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our principal operating subsidiaries is set forth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2018, Sagtec Group was incorporated in Malaysia as a private company limited by shares. On May 27, 2019, Sagtec Group changed its name from Signage Alliance Group Sdn Bhd to Sagtec Group Sdn Bhd It commenced business on June 11, 2018 and is engaged in the provision of customizable software solutions. The solutions Sagtec Group provides include subscription services, software consultation and development services, social media management, data management and analysis services and sales of food ordering kiosks with screens. As part of a group reorganization on January 1, 2024, Sagtec Group became a subsidiary of our Company, with our ownership at 98.04%.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2019, CL Technologies was incorporated in Malaysia as a private company limited by shares. It commenced business on February 14, 2019 and is engaged in the customizable software solutions. The solutions CL Technologies provides include data management &amp; analysis services and social media management. CL Technologies is also engaged in providing sales of power bank charging stations. As part of a group reorganization on January 1, 2024, CL Technologies became a subsidiary of our company, with our ownership at 94.95%.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our Class A Ordinary Shares. Below please find a summary of the principal risks and uncertainties we face, organized under relevant headings. In particular, you should pay special attention to subsections headed “Item 3. Key Information-3.D. Risk Factors-Risks Related to Doing Business in Malaysia,” “-Risks Related to Doing Business in Malaysia,” and “-Risks Related to Our Class A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Doing Business in Malaysia:</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various laws and regulations in Malaysia. (Page 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foreign exchange control policies in Malaysia. (Page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business strategies and future plans. (Page 7)</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substantial portion of our revenue through a limited number of regional dealers, and our business growth depends in part on their ability to acquire new subscribers. (Page 8)</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affected by regional and worldwide political, regulatory, social and economic conditions in the jurisdictions in which we and our customers and suppliers operate and in the jurisdictions which we intend to expand our business in. (Page 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need to continually maintain a wide range of software technological solutions which are relevant to our customers’ needs. (Page 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success is dependent on our key management personnel and our experienced and skilled personnel, and our business may be severely disrupted if we are unable to retain them or to attract suitable replacements. (Page 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profitability may be adversely affected if there are major malfunctions in our software solutions sold to our customers. (Page 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sale of software solutions in Malaysia and the region may affect our ability to maintain our market share and growth. (Page 10)</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supply chain interruptions. (Page 11)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an outbreak of other infectious diseases. (Page 11)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arising from fluctuations of foreign currency exchange rates. (Page 12)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customers may not be able to obtain the necessary approvals or certifications for the use of our software solutions in Malaysia. (Page 12)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regulations and penalties, and may be adversely affected by new and changing laws and regulations. (Page 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policies may be inadequate to cover our assets, operations and any loss arising from business interruptions. (Page 12)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harmed by negative publicity. (Page 12)</w:t>
      </w:r>
    </w:p>
    <w:p>
      <w:pPr>
        <w:sectPr>
          <w:pgSz w:w="11900" w:h="16838" w:orient="portrait"/>
          <w:cols w:equalWidth="0" w:num="1">
            <w:col w:w="11240"/>
          </w:cols>
          <w:pgMar w:left="320" w:top="877" w:right="339" w:bottom="1440" w:gutter="0" w:footer="0" w:header="0"/>
        </w:sectPr>
      </w:pPr>
    </w:p>
    <w:p>
      <w:pPr>
        <w:spacing w:after="0" w:line="225" w:lineRule="exact"/>
        <w:rPr>
          <w:sz w:val="20"/>
          <w:szCs w:val="20"/>
          <w:color w:val="auto"/>
        </w:rPr>
      </w:pPr>
    </w:p>
    <w:p>
      <w:pPr>
        <w:ind w:left="66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tab/>
        <w:t>We are exposed to risks in respect of acts of war, terrorist uncontrollable events. (Page 12)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attacks, epidemics, political unrest, adverse weather conditions and other</w:t>
      </w:r>
    </w:p>
    <w:p>
      <w:pPr>
        <w:spacing w:after="0" w:line="441" w:lineRule="exact"/>
        <w:rPr>
          <w:sz w:val="20"/>
          <w:szCs w:val="20"/>
          <w:color w:val="auto"/>
        </w:rPr>
      </w:pPr>
    </w:p>
    <w:p>
      <w:pPr>
        <w:sectPr>
          <w:pgSz w:w="11900" w:h="16838" w:orient="portrait"/>
          <w:cols w:equalWidth="0" w:num="2">
            <w:col w:w="5320" w:space="280"/>
            <w:col w:w="5640"/>
          </w:cols>
          <w:pgMar w:left="320" w:top="877" w:right="339" w:bottom="1440" w:gutter="0" w:footer="0" w:header="0"/>
          <w:type w:val="continuous"/>
        </w:sect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tensions in international trade and rising international political tensions may adversely affect our business, financial condition, and results of operations. (Page 13)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Risks Related to our Class A Ordinary Shares</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maintain the listing of our Class A Ordinary Shares on Nasdaq Capital Market which could limit investors’ ability to make transactions in our Class A Ordinary Shares and subject us to additional trading restrictions. (Page 13)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Ordinary Shares may be volatile, which could result in substantial losses to investors. (Page 13)</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recent initial public offerings of companies with public floats comparable to the anticipated public float of our Company have experienced extreme volatility that was seemingly unrelated to the underlying performance of the respective company. We may experience similar volatility. Such volatility, including any stock-run up, may be unrelated to our actual or expected operating performance and financial condition or prospects, making it difficult for prospective investors to assess the rapidly changing value of our Class A Ordinary Shares. (Page 14)</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causing us to lose visibility in the financial markets or if they adversely change their recommendations regarding our Class A Ordinary Shares, the market price for our Class A Ordinary Shares and trading volume could decline. (Page 14)</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you must rely on price appreciation of our Class A Ordinary Shares for a return on your investment. (Page 15)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may drive down the market price of our Class A Ordinary Shares. (Page 15)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rely on the judgment of our management as to the uses of the net proceeds from our continued offering, and such uses may not produce income or increase our share price. (Page 15)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classified as a passive foreign investment company, United States taxpayers who own our securities may have adverse United States federal income tax consequences. (Page 15)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controlling shareholder, Mr. Ng Chen Lok, has substantial influence over the Company. His interests may not be aligned with the interests of our other shareholders, and he could prevent or cause a change of control or other transactions. (Page 8)</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“controlled company” under the rules of Nasdaq Capital Market, we may choose to exempt our Company from certain corporate governance requirements that could have an adverse effect on our public shareholders. (Page 16)</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BVI, we are permitted to follow certain home country practices in relation to corporate governance matters in lieu of certain requirements under Nasdaq corporate governance listing standards. These practices may afford less protection to shareholders than they would enjoy if we complied fully with Nasdaq corporate governance listing standards. (Page 16)</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British Virgin Islands law. (Page 16)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or our auditor by our shareholders may not be enforceable. (Page 17)</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 applicable to other public companies that are not emerging growth companies. (Page 17)</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Exchange Act, and as such we are exempt from certain provisions applicable to United States domestic public companies. (Page 18)</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costs and expenses to us. (Page 19)</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and devote substantial management time as a result of the listing of our Class A Ordinary Shares on Nasdaq Capital Market. (Page 18)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Malaysia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various laws and regulations in Malaysia.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in Malaysia are subject to a variety of laws and regulations, including those pertaining to business licenses, intellectual property rights, employment, personal data and privacy, dividends, unmanned aircraft, distribution trade services, and cybersecurity. For more information, please consult the “Regulatory Environment” section in this annual report. Compliance with these laws necessitates certain registrations, certificates, and/or licenses.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experience, some of the laws and regulations of the place where we operate our business are subject to amendments, uncertainty in interpretation and administrative actions from time to time. Consequently, we cannot guarantee that we will be able to secure all necessary registrations, certificates, and/or licenses for the execution of our business plans or the launch of new services or products. Non-compliance with these laws and regulations could result in fines, administrative penalties, and/or legal action against us, potentially damaging our reputation and impacting our financial status or operational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control policies in Malaysia.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our subsidiaries to pay dividends or make other payments to us may be restricted by the foreign exchange control policies in the countries where we operate. For example, there are foreign exchange policies in Malaysia which support the monitoring of capital flows into and out of the country in order to preserve its financial and economic stability. The foreign exchange policies are administered by the Foreign Exchange Administration, an arm of the Bank Negara Malaysia (the Central Bank of Malaysia) (“BNM”). The foreign exchange policies monitor and regulate both residents and non-residents of Malaysia. Under the current Foreign Exchange Administration rules issued by BNM, nonresidents are free to repatriate any amount of funds from Malaysia in foreign currency other than the currency of Israel at any time (subject to limited exceptions), including capital, divestment proceeds, profits, dividends, rental, fees and interest arising from investment in Malaysia, subject to any withholding tax. In the event BNM or any other country where we operate introduces any restrictions in the future, our ability to repatriate dividends or other payments from our subsidiaries in Malaysia or in such other countries may be affected. Since we are a BVI holding company and rely principally on dividends and other payments from our subsidiaries for our cash requirements, any restrictions on such dividends or other payments could materially and adversely affect our liquidity,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business strategies and future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business strategies and future plans, we intend to expand our software technology portfolio and increase our storage facilities and capabilities as well as consider potential business opportunities through mergers and acquisitions and joint ventures. While we have planned such expansion based on our outlook regarding our business prospects, there is no assurance that such expansion plans will be commercially successful or that the actual outcome of those expansion plans will match our expectations. The success and viability of our expansion plans are dependent upon our ability to successfully predict the types of software technology which are in demand amongst our customers, hire and retain skilled employees to carry out our business strategies and future plans and implement strategic business development and marketing plans effectively and upon an increase in demand for our products and services by existing and new customers in the future.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 implementation of our business strategies and future plans may require substantial capital expenditure and additional financial resources and commitments. There is no assurance that these business strategies and future plans will achieve the expected results or outcome such as an increase in revenue that will be commensurate with our investment costs or the ability to generate any costs savings, increased operational efficiency and/or productivity improvements to our operations. There is also no assurance that we will be able to obtain financing on terms that are favorable, if at all. If the results or outcome of our future plans do not meet our expectations, if we fail to achieve a sufficient level of revenue or if we fail to manage our costs efficiently, we may not be able to recover our investment costs and our business, financial condition, results of operations and prospects may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controlling shareholder, Mr. Ng Chen Lok, has substantial influence over the Company. His interests may not be aligned with the interests of our other shareholders, and he could prevent or cause a change of control or other transactions.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Mr. Ng Chen Lok holds 36.63% of our issued and outstanding Class A Ordinary Shares and 100% of our Class B Ordinary Shares, and is able to exercise 80.72% of the total voting power of our issued and outstanding ordinary shares.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our controlling shareholder could have considerable influence or control over the outcome of any corporate transactions or other matters submitted to the shareholders for approval, including (i) mergers, consolidations, (ii) the election or removal of Directors, (iii) the sale of all or substantially all of our assets, (iv) making amendments to our Memorandum and Articles of Association, (v) whether to issue additional shares, including to him, (vi) employment, including compensation arrangements, and (vii) the power to prevent or cause a change in control. The interests of our largest shareholder may differ from the interests of our other shareholders. Without the consent of our controlling shareholder, we may be prevented from entering into transactions that could be beneficial to us or our other shareholders. The concentration in the ownership of our shares may cause a material decline in the value of our shares. For more information regarding our principal shareholders and their affiliated entities, see “Principal Shareholders.”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 through a limited number of regional dealers, and our business growth depends in part on their ability to acquire new subscribers.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distribute our products and services through a network of authorized regional dealers and resellers who are granted exclusive dealership rights within their respective territories, subject to achieving certain performance targets. For the years ended December 31, 2023, 2024 and 2025, our top five dealers accounted for 63.63%, 71.63% and 71.12% of our total revenue,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revenue is recorded through these dealers, our business model is based on recurring licensing fees paid by subscribers who hold licenses directly with Sagtec. As a result, even if a dealer ceases to collaborate with us, existing subscribers within that dealer’s territory are expected to continue their subscriptions and pay licensing fees directly to us. This structure provides a degree of revenue stability and predictability based on our existing subscriber base.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Nevertheless, our reliance on a limited number of dealers to expand our subscriber base exposes us to certain risks. Specifically, any one of the following events, among others, may cause our subscriber growth to slow or our revenue to decline, and have an adverse effect on our business, results of operations, financial condition and prospects:</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ability or effort of one or more of our major dealers to acquire new subscribers;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by one or more of our major dealers to promote competing products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dealers regarding pricing, exclusivity terms, or performance targets;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that may negatively affect the business of one or more of our major dealers or our industry in general.</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maintain productive relationships with our dealers or to appoint effective replacements in a timely manner, our ability to grow our subscriber base and expand our business may be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regional and worldwide political, regulatory, social and economic conditions in the jurisdictions in which we and our customers and suppliers operate and in the jurisdictions which we intend to expand our business in.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customers and suppliers are governed by the laws, regulations, and government policies in each of the various jurisdictions in which we and our customers and suppliers operate or into which we intend to expand our business and operations. Our business and future growth are dependent on the political, regulatory, social and economic conditions in these jurisdictions, which are beyond our control. Any economic downturn, changes in policies, currency and interest rate fluctuations, capital controls or capital restrictions, labor laws, changes in environmental protection laws and regulations, duties and taxation and limitations on imports and exports in these countries may materially and adversely affect our business, financial condition, results of operations and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we fund the development of our software technology via our internal resources and short and long-term financing from banks and other financial institutions. Any disruption, uncertainty and volatility in the global credit markets may limit our ability to obtain the required working capital and financing for our business at reasonable terms and finance costs. If all or a substantial portion of our credit facilities are withdrawn and we are unable to secure alternative funding on acceptable commercial terms, our operations and financial position will be adversely affected. The interest rates for most of our credit facilities are subject to review from time to time by the relevant financial institutions. Given that we rely on these credit facilities to finance our development of our software technology, and other associated costs, and that interest expenses represent a significant percentage of our expenses, any increase in the interest rates of the credit facilities extended to us may have a material adverse impact on our profitability.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such fluctuations and volatility in the global credit markets could limit credit lines of our current and potential customers from banks or financial institutions. Accordingly, such customers may not be able to obtain sufficient financing to purchase our software technology solutions, or we may be required to lower our rates in order to cater to our customers’ current situation. This may have an adverse impact on our revenue and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need to continually maintain a wide range of software technological solutions which are relevant to our customers’ needs.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needs and preferences of our customers in terms of features and specifications of software technology solutions may change as a result of evolving laws, regulations, standards and requirements and new developments in technology. Our future success depends on our ability to obtain and provide software technology solutions that meet the evolving market demands of our customers. The preferences, requirements and purchasing patterns of our customers can change rapidly due to technological developments in their respective industries. There is no assurance that we will be able to respond to changes in the specifications of our customers in a timely manner. Our success depends on our ability to adapt our software solutions to the requirements and specifications of our customers. There is also no assurance that we will be able to respond to changes sufficiently and promptly in customer preferences to make corresponding adjustments to our products or services, and failing to do so may have a material and adverse effect on our business, financial condition, results of operations and prospects.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relies on customer demand for our software technology solutions. Depending on the progress of technological development of the current programs and systems we use for development of our software solutions, our existing software may become prematurely obsolete or phased out. Any change in customer demand for our products may have an adverse impact on our product sales, which may in turn lead to technological obsolescence. In that case, our business, financial condition, results of operations and prospects may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success is dependent on our key management personnel and our experienced and skilled personnel, and our business may be severely disrupted if we are unable to retain them or to attract suitable replacements.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commencement of our business, our Executive Director, Chairman and Chief Executive Officer, Mr. Ng Chen Lok has been instrumental in expanding our business from a three-person operation specializing in software development (Speed+ Point of Sales System) for the F&amp;B industry in June 2018 to providing our current wide range of software solutions today. We rely on the wide network and contacts of Mr. Ng Chen Lok, which was built over the past decade, in particular, sourcing for new customers through his existing contacts.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depends on the continued service and performance of Mr. Ng Chen Lok because he plays an important role in guiding the implementation of our business strategies and future plans. The working and business relationships that Mr. Ng Chen Lok has developed with our main suppliers and customers over the years is important for the future development of our business. If Mr. Ng Chen Lok were to terminate his employment, there is no assurance that we would be able to find suitable replacements with such a vast network of contacts in a timely manner. The loss of services of Mr. Ng Chen Lok and/or the inability to identify, hire, train and retain other qualified technical and operations personnel in the future may materially and adversely affect our business, financial condition, results of operations and prospects.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although we are dependent on certain key personnel, we do not have any key man life insurance policies on any such individual with the exception of Mr. Ng Chen Lok. Therefore, if any of our key management personnel dies or become disabled, we will not receive any compensation to assist with such individual’s absence. The loss of such a person could materially and adversely affect our business,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profitability may be adversely affected if there are major malfunctions in our software solutions sold to our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exposed to the risk of software failure, bugs and malware, which may arise due to poor maintenance, hardware and software bugs, power outages, and the risk of failure by our customers to follow procedures and protocols, possibly resulting in pauses in our customers operations. In the event of any malfunction, we may be forced to cease all, or part of our operations and we may be subject to legal and regulatory liabilities and actions such as directives, penalties, sanctions, or significant costs and expenses in any dispute as a result of such software failure. This may have an adverse impact on our operations and financial performance.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establishment, we believe that we have built goodwill in our brands and thus customer loyalty. Hence, if there are any major lapses in our sales of software solutions and/or due to circumstances beyond our control resulting in negative publicity, our reputation may be adversely affected, and our customers may lose confidence in our software solutions. In such an event, our business and hence our profitability and financial performance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failure or deterioration in our quality control systems could have a material adverse effect on our business and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quality of our products and services are critical to the success of our business and operations. As such, it is imperative that our quality control systems operate effectively and successfully. Quality control systems can be negatively impacted by the design of the quality control systems and the quality training programs. Although we strive to ensure that all of our customers are taught how to use our software solutions and integrated hardware, and have implemented and adhere to high-quality control systems, any significant failure or deterioration of such quality control systems could have a material adverse effect on our business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in the sale of software solutions in Malaysia and the region may affect our ability to maintain our market share and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the software technology sales business, which is highly competitive. Our competitors may possess greater financial resources and more up-to-date software with better specifications and features. They may also have a larger customer base and offer a wider range of software features and specifications coupled with greater marketing resources.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Entry of new competitors in the market or market consolidation could also increase the degree of competition within the industry. Our continued success depends on our ability to compete with our competitors as well as to be able to compete successfully in the future against existing or potential competitors or to adapt to changes in market conditions and demands. In the event we are unable to compete successfully against existing or potential competitors or to adapt to changes in market conditions and demands, our business and financial performance may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good working relationships with our suppliers and customers and have a wide range of software features targeted for our customers’ needs. However, there is no assurance that our existing suppliers and customers will renew their agreements or continue to work with us. In the event our suppliers and customers choose to work with our competitors and/or our experienced and skilled employees choose to join our competitors, we may not be able to maintain our competitive position, and our business, financial condition, results of operations, and prospects may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supply chain interruptions.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work with third-party logistic providers for the import, export, and transportation of our technological hardware. We rely on such third-party service providers’ abilities to deliver our technological hardware as part of the supply chain logistics. The factors that can adversely affect our operations include, but are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delivery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service providers to meet our standards or their commitments to us;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transportation costs, shipping constraint or other factors that could impact cost, such as having to find more expensive service providers which may or may not be readily available.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of operations and capital resources have not been materially impacted by supply chain interruptions during the financial years ended December 31, 2023, 2024, and 2025, there have not been any material impact for the financial years ended December 31, 2023, 2024 and 2025 because our business mainly relies on software development developed internally. However, any increased costs from delays, cancellations, and insurance, or disruption to, or inefficiency in, the supply chain network of our third-party service providers, whether due to geopolitical conflicts, COVID-19, outbreaks, or other factors, could affect our revenue and profitability. Please refer to the risk factors “Our business and operations may be materially and adversely affected in the event of a re-occurrence or a prolonged global pandemic outbreak of COVID-19” set out below in this annual report, for details on how these recent events have caused interruptions to our supply chain and impacted our operations. If we fail to manage these risks effectively, we could experience a material adverse impact on our reputation, revenue, and profitability.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business model does not heavily rely on third-party software or services, particularly those that are directly integrated into our products or operations. This reduces our dependency on external technology and lessens the potential impact of cybersecurity breaches or disruptions originating from these third-party entities. Currently, we only receive a small number of inquiries via our website at </w:t>
      </w:r>
      <w:r>
        <w:rPr>
          <w:rFonts w:ascii="Times New Roman" w:cs="Times New Roman" w:eastAsia="Times New Roman" w:hAnsi="Times New Roman"/>
          <w:sz w:val="18"/>
          <w:szCs w:val="18"/>
          <w:i w:val="1"/>
          <w:iCs w:val="1"/>
          <w:color w:val="auto"/>
        </w:rPr>
        <w:t>https://www.sagtec-global.com/</w:t>
      </w:r>
      <w:r>
        <w:rPr>
          <w:rFonts w:ascii="Times New Roman" w:cs="Times New Roman" w:eastAsia="Times New Roman" w:hAnsi="Times New Roman"/>
          <w:sz w:val="18"/>
          <w:szCs w:val="18"/>
          <w:color w:val="auto"/>
        </w:rPr>
        <w:t>. Despite our perception of the lower risk of cybersecurity related incidents materially affecting our operations, we plan to prioritize the implementation of cybersecurity measures to maintain a secure and reliable business environment. For example, we plan to (i) conduct more rigorous assessments of potential suppliers’ cybersecurity practices, including penetration testing and vulnerability assessments; (ii) incorporate cybersecurity clauses into our business contracts;; (iii) educate our employees on cybersecurity threats by providing training for employees to recognize and report phishing attempts, social engineering tactics, and other cyber threats; and (iv) implement cybersecurity awareness tools and simulations to test employees’ knowledge and response to potential threats. By implementing these measures, we hope that our ability to respond to and recover from any eventual cybersecurity incidents will be enhanced.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an outbreak of other infectious diseases.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outbreak of infectious diseases such as severe acute respiratory syndrome and avian influenza or new forms of infectious diseases in the future may potentially affect our operations as well as the operations of our customers and suppliers. In the event that any of the employees in any of our offices or worksites or those of our customers and suppliers are affected by any infectious disease, we or our customers and suppliers may be required to temporarily shut down our or their offices or worksites to prevent the spread of the diseases. This may have an adverse impact on our revenue and financial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arising from fluctuations in foreign currency exchange rates.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reporting currency is Malaysian Ringgit. Our overseas sales are denominated in Malaysian Ringgit and procurement from our overseas suppliers are also denominated in Malaysian Ringgit. We may be exposed to foreign currency exchange gains or losses arising from transactions in currencies other than our reporting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and/or our customers may not be able to obtain the necessary approvals or certifications for the use of our software solutions in Malaysia.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Various jurisdictions may require different licenses, approvals and certifications for the use and operation of certain software solutions, such as in Malaysia.</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offer software solutions to our customers within Malaysia, we will need to maintain such approvals and certifications in order to carry out such services. In addition, we are guided by a set of regulations imposed on us as described in the “Regulatory Environment” section on page 36 below. We are subject to monetary fines other penalties if there is an infringement of any of the applicable safety regulations. Our business operations are regulated by various governmental bodies and authorities in Malaysia disclosed in the “Regulatory Environment” section of this annual report on page 36. Any such new regulations or any imposition of new licensing requirements that may be applicable to our business operations and/or the products that we supply may have an adverse impact on our operations and financial performance.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compliance with changes in government legislation, regulations, or policies may increase our costs and any significant increase in compliance costs arising from such changes may adversely affect our financial performance. In such event, our business and profitability would be materially and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regulations and penalties, and may be adversely affected by new and changing laws and regulations.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policies relating to the protection of the environment and to workplace health and safety. We are required to adopt measures to implement such measures that ensure the safety and health of our employees. Changes to current laws, regulations, or policies or the imposition of new laws, regulations, and policies in the software technology industry could impose new restrictions or prohibitions on our current practices. We may incur significant costs and expenses and need to budget additional resources to comply with any such requirements, which may have a material and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be inadequate to cover our assets, operations, and any loss arising from business interruptions.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the risk of loss or damage to our equipment due to fire, theft, or other natural disasters in Malaysia. Such events may also cause a disruption or cessation in our business operations, and thus may adversely affect our financial results. Our insurance coverage may not be sufficient to cover all of our potential losses. If there are losses that exceed the insurance coverage or are not covered by our insurance policies, we will remain liable for any liability, debt, or other financial obligation related to such losses. We do not have any insurance coverage for business interruptions. In the event that any claims arise in respect of such occurrences and liability for such claims are attributed to us or that our insurance coverage is insufficient, we may be exposed to losses which may adversely affect our profitability and financial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harmed by negative publicity.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highly competitive industries and there are other companies in the market that offer similar products for sales and rental and complementary services which we offer. We derive most of our customers through word of mouth and we rely on the positive feedback of our customers. Thus, customer satisfaction with our software technology products is critical to the success of our business as this will also result in potential referrals to new customers from our existing customers. If we fail to meet our customers’ expectations, there may be negative feedback regarding our products and/or services, which may have an adverse impact on our business and reputation. In the event we are unable to maintain a high level of customer satisfaction, or any customer dissatisfaction is inadequately addressed, our business, financial condition, results of operations and prospects may also be adversely affected.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reputation may also be adversely affected by negative publicity in reports, publications such as major newspapers and forums, or any other negative publicity or rumors. There is no assurance that our Group will not experience negative publicity in the future or that such negative publicity will not have a material and adverse effect on our reputation or prospects. This may result in our inability to attract new customers or retain existing customers and may in turn adversely affect our business and the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with respect of acts of war, terrorist attacks, epidemics, political unrest, adverse weather conditions, and other uncontrollable events.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Unforeseeable circumstances and other factors such as power outages, labor disputes, adverse weather conditions or other catastrophes, epidemics, or outbreaks may disrupt our operations and cause loss and damage to our storage facilities, workshop, and office, and acts of war, terrorist attacks or other acts of violence may further materially and adversely affect the global financial markets and consumer confidence. Our business may also be affected by macroeconomic factors in the countries in which we operate, such as general economic conditions, market sentiment, social and political unrest, and regulatory, fiscal, and other governmental policies, all of which are beyond our control. Any such events may cause damage or disruption to our business, markets, customers, and suppliers, any of which may materially and adversely affect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These tensions have affected diplomatic and economic ties between countries and created uncertainties in the global economy. Heightened geopolitical tensions could reduce levels of trade, investment, technological exchange, and other economic activities between major economies. Any deterioration in international relations may negatively impact global economic, political, and social conditions, which in turn could adversely affect our business, financial condition, and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Governments around the world have implemented, and may continue to implement, policies that restrict international trade and investment, such as tariffs, export controls, economic or trade sanctions, and foreign investment review and approval requirements. These measures may materially and adversely affect international trade, global financial markets, and overall economic stability. In addition, changes in trade policies, retaliatory measures by affected countries, or escalation of trade restrictions may further disrupt global supply chains and increase market volatility.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cross-border business is not currently a primary focus of our operations, if we seek to expand internationally in the future, any unfavorable government policies or increased geopolitical tensions could affect demand for our products and services, impact our competitive position, increase compliance costs, or limit our ability to operate in certain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Our Continued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maintain the listing of our Class A Ordinary Shares on the Nasdaq Capital Market which could limit investors’ ability to make transactions in our Class A Ordinary Shares and subject us to additional trading restrictions.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list our Class A Ordinary Shares on the Nasdaq Capital Market concurrently with our continued offering. In order to continue listing our Class A Ordinary Shares on the Nasdaq Capital Market, we must maintain certain financial and share price levels and we may be unable to meet these requirements in the future. We cannot assure you that our Class A Ordinary Shares will continue to be listed on the Nasdaq Capital Market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Nasdaq Capital Market delists our Class A Ordinary Shares and we are unable to list our Class A Ordinary Shares on another national securities exchange, we expect our Class A Ordinary Shares could be quoted on an over-the-counter market in the United States. If this were to occur, we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“penny stock,” which will require brokers trading in our Class A Ordinary Shares to adhere to more stringent rules and possibly result in a reduced level of trading activity in the secondary trading market for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long as our Class A Ordinary Shares are listed on the Nasdaq Capital Market, U.S. federal law prevents or pre-empts individual states from regulating their sale. However, the law does allow the states to investigate companies if there is a suspicion of fraud, and, if there is a finding of fraudulent activity, then the states can regulate or bar their sale. Further, if we were no longer listed on the Nasdaq Capital Market, we would be subject to regulations in each state in which we offer our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Ordinary Shares may be volatile, which could result in substantial losses to investors.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Class A Ordinary Shares may be volatile and could fluctuate widely due to factors beyond our control. This may happen because of the broad market and industry factors, like the performance and fluctuation of the market prices of other companies with business operations located mainly in Malaysia that have listed their securities in the United States. In addition to market and industry factors, the price and trading volume for our shares may be highly volatile for factors specific to our own operations, including the following:</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earnings and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may result in significant and sudden changes in the volume and price at which our shares will trade.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recent initial public offerings of companies with public floats comparable to the anticipated public float of our Company have experienced extreme volatility that was seemingly unrelated to the underlying performance of the respective company. We may experience similar volatility. Such volatility, including any stock-run up, may be unrelated to our actual or expected operating performance and financial condition or prospects, making it difficult for prospective investors to assess the rapidly changing value of our Class A Ordinary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Recently, there have been instances of extreme stock price run-ups followed by rapid price declines and strong stock price volatility with recent initial public offerings,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Class A Ordinary Shares.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Class A Ordinary Shares. A decline in the market price of our Class A Ordinary Shares also could adversely affect our ability to issue additional shares of Class A Ordinary Shares or other of our securities and our ability to obtain additional financing in the future. No assurance can be given that an active market in our Class A Ordinary Shares will develop or be sustained. If an active market does not develop, holders of our Class A Ordinary Shares may be unable to readily sell the shares they hold or may not be able to sell their shares at 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Class A Ordinary Shares, the market price for our Class A Ordinary Shares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shares will be influenced by research or reports that industry or securities analysts publish about our business. If one or more analysts downgrade our shares, the market price for our shares would likely decline. If one or more of these analysts cease to cover us or fail to regularly publish reports on us, we could lose visibility in the financial markets, which in turn could cause the market price or trading volume for our shares to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Class A Ordinary Shares for a return on your investment.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intend to retain all of our available funds and any future earnings after our continued offering to fund the development and growth of our business. As a result, we do not expect to pay any cash dividends in the foreseeable future. Therefore, you should not rely on an investment in our shares as a source for any future dividend income. Our Board has complete discretion as to whether to distribute dividends, subject to certain requirements of British Virgin Islands and Malaysia law. Even if our Board decides to declare and pay dividends (by way of a simple majority decision of our Directors),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as determined by our Board. This will also be subject to the Companies Act and our Memorandum and Articles of Association, which provides for an equal share in any distributions paid by the Company in accordance with the Companies Act and our Memorandum and Articles of Association for the Class A Ordinary Shares and Class B Ordinary Shares. Accordingly, the return on your investment in our Class A Ordinary Shares will likely depend entirely upon any future price appreciation of our Class A Ordinary Shares. There is no guarantee that our Class A Ordinary Shares will appreciate in value after our continued offering or even maintain the price at which you purchased our shares. You may not realize a return on your investment in our shares and you may even lose your entire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selling may drive down the market price of our Class A Ordinary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selling of shares in the market. If we were to become the subject of any unfavorable publicity, whether such allegations are proven to be true or untrue, we could have to expend a significant number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uses of the net proceeds from our continued offering, and such uses may not produce income or increase our share price.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of our continued offering as set out in “Use of Proceeds.” However, our management will have considerable discretion in the application of the net proceeds received by us in our continued offering. You will not have the opportunity, as part of your investment decision, to assess whether proceeds are being used appropriately. The net proceeds may be used for corporate purposes that do not improve our efforts to achieve or maintain profitability or increase our share price. The net proceeds from our continued offering may be placed in investments that do not produce income or that lose value.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United States taxpayers who own our securities may have adverse United States federal income tax consequences.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non-U.S. corporation and, as such, we will be classified as a passive foreign investment company, which is known as a PFIC, for any taxable year if, for such year, either:</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year is passive income;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the taxable year that produce passive income or that are held for the production of passive income is at least 50%.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royalties (other than rents or royalties derived from the active conduct of a trade or business) and gains from the disposition of passive assets.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expect to become a PFIC, because the value of our assets for purposes of the asset test may be determined by reference to the market price of our Class A Ordinary Shares, fluctuations in the market price of our Class A Ordinary Shares may cause us to become a PFIC for the current or subsequent taxable years. The determination of whether we will be or become a PFIC will also depend, in part, on the composition of our income and assets. If we determine not to deploy significant amounts of cash for active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taxpayers if we were determined to be a PFIC, see “Material Tax Considerations - Passive Foreign Investment Company Considerations.”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under the rules of the Nasdaq Capital Market, we may choose to exempt our Company from certain corporate governance requirements that could have an adverse effect on our public shareholders.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Ng Chen Lok, our Chairman of the Board, Executive Director and Chief Executive Officer, holds 36.63% of our total issued and outstanding Class A Ordinary Shares and 100% of our total issued and outstanding Class B Ordinary Shares and is able to exercise 80.72% of the total voting power of our issued and outstanding shares. Under the Rule 4350(c) of the Nasdaq Capital Market, a company of which more than 50% of the voting power is held by an individual, group or another company is a “controlled company” and may elect not to comply with certain corporate governance requirements, including:</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a majority of our Board must be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the compensation of our chief executive officer must be determined or recommended solely by independent directors;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our director nominees must be selected or recommended solely by independent directors.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presently plan to comply voluntarily with the corporate governing listing standards of Nasdaq, we may choose to rely on the exemptions in the future. As a result, you may not have the same protection afforded to shareholders of companies that are subject to these corporate governance requirements.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company incorporated in the BVI, we are permitted to adopt certain home country practices in relation to corporate governance matters that differ significantly from the corporate governance listing requirements of Nasdaq. Some of these practices include being exempted from certain of the corporate governance requirements of Nasdaq, namely (i) there will not be a necessity to have regularly scheduled executive sessions with independent Directors; and</w:t>
      </w:r>
    </w:p>
    <w:p>
      <w:pPr>
        <w:spacing w:after="0" w:line="1" w:lineRule="exact"/>
        <w:rPr>
          <w:sz w:val="20"/>
          <w:szCs w:val="20"/>
          <w:color w:val="auto"/>
        </w:rPr>
      </w:pPr>
    </w:p>
    <w:p>
      <w:pPr>
        <w:jc w:val="both"/>
        <w:ind w:firstLine="8"/>
        <w:spacing w:after="0" w:line="255"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requirement for the Company to obtain Shareholder approval prior to an issuance of securities in connection with (a) the acquisition of stock or assets of another company; (b) equity-based compensation of officers, directors, employees or consultants; and (c) a change of control. These practices may afford less protection to Shareholders than they would enjoy if we complied fully with corporate governance listing requirements of Nasdaq.</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follow home country practice in British Virgin Islands in lieu of Nasdaq Capital Market Listing Rule 5600 with the exception of those rules which are required to be followed pursuant to the provisions of Listing Rule 5615(a)(3). See “Item 16G. Corporate Governance” for more information. As a result, our shareholders may not be provided with the benefits of certain corporate governance requirements of Nasdaq.</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British Virgin Islands law</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BVI business company limited by shares incorporated under the laws of the BVI. Our corporate affairs are governed by our Memorandum and Articles of Association, the Companies Act and the common law of the BVI.</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advised by Mourant Ozannes as BVI counsel to the Company that the United States and the BVI do not have a treaty providing for reciprocal recognition and enforcement of judgments of courts of the United States in civil and commercial matters and that a final judgment for the payment of money rendered by any general or state court in the United States based on civil liability, whether or not predicated solely upon the U.S. federal securities laws, is unlikely to be directly enforceable in the BVI. We have also been advised by Mourant Ozannes that a final and conclusive judgment obtained in a U.S. federal or state court under which a sum of money is payable as compensatory damages (not being a sum claimed by a revenue authority for taxes or other charges of a similar nature by a governmental authority, or in respect of a fine or penalty or multiple or punitive damages) may be recognized by the High Court of the BVI as a cause of action for a debt.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The rights of shareholders to take action against the directors, actions by minority shareholders and the fiduciary duties of our directors to us under British Virgin Islands law are governed by the Companies Act and the common law of the BVI. The common law of the BVI is derived in part from comparatively limited judicial precedent in the BVI as well as from the common law of England, the decisions of whose courts are of persuasive authority, but are not binding, on a court in the BVI. The rights of our shareholders and the fiduciary duties of our directors under British Virgin Islands law are not as clearly established as they would be under statutes or judicial precedent in some states in the United States. In particular, the BVI has a less developed body of securities laws than the United States. Some U.S. states have more fully developed and judicially interpreted bodies of corporate law than the BVI. In addition, BVI companies may not have the standing to initiate a shareholder derivative action in a federal court of the United States.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are entitled, by giving written notice to the Company, to inspect the Company’s Memorandum and Articles of Association, register of members, register of directors and minutes of meetings and resolutions of shareholders. However, pursuant to the Companies Act, our directors may, if they are satisfied that it would be contrary to the Company’s interests to allow a shareholder to inspect the register of members, register of directors, minutes of meetings, resolutions of members, or any part of such document refuse to permit the shareholder to inspect that document or limit the inspection of that document, including limiting the making of copies or the taking of extracts from the records. This may make is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British Virgin Islands, which is our home country, differ significantly from requirements for companies incorporated in other jurisdictions such as U.S. states. Accordingly, our shareholders may be afforded less protection than they otherwise would under rules and regulations applicable to U.S. domestic issuers.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all of the above, shareholders may have more difficulty in protecting their interests in the face of actions taken by our management, members of our board of directors or our controlling shareholder than they would as shareholders of a company incorporated in a U.S. state. For a discussion of significant differences between the provisions of the Companies Act and the laws applicable to companies incorporated in a U.S. state and their shareholders, see “Certain British Virgin Islands Company Considerations - Differences in Corporate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or our auditor by our shareholders may not be enforceable.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British Virgin Islands company. Our operating subsidiaries were incorporated and are located in Malaysia. Substantially all of our assets are located outside of the United States. In addition, all of our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our Directors and officers, or our auditor judgments obtained in United States courts, including judgments predicated upon the civil liability provisions of the securities laws of the United States or any state in the United States. Even if you are successful in bringing an action of this kind, the laws of the British Virgin Islands and Malaysia may render you unable to enforce a judgment against our assets or the assets of our Directors and officers. For more information regarding the relevant laws of the British Virgin Islands and Malaysia, see “Enforceability of Civil Liabilities.” As a result of all of the above, our shareholders may have more difficulties in protecting their interests through actions against us, our officers, Directors, or major shareholders, than would shareholders of a corporation incorporated in a jurisdiction in the United States.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 applicable to other public companies that are not emerging growth companies.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In other words, an “emerging growth company” can delay the adoption of certain accounting standards until those standards would otherwise apply to private companies. We have elected to take advantage of the extended transition period, although we have adopted certain new and revised accounting standards based on transition guidance permitted under such standards earlier. As a result of this election, our future financial statements may not be comparable to other public companies that comply with the public company effective dates for these new or revised accounting standards.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Exchange Act, and as such we are exempt from certain provisions applicable to United States domestic public companies.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financial results on a semi-annual basis through press releases distributed pursuant to the rules and regulations of the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 to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we are a foreign private issuer under the Exchange Act,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December 31, 2026.</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In addition, although, as a foreign private issuer, our directors and executive officers have recently become subject to the reporting requirements of Section 16(a) of the Exchange Act, they remain exempt from the short-swing profit recovery provisions of Section 16(b). If we lose our foreign private issuer status, our directors, executive officers and 10% shareholders would become fully subject to both the reporting and liability provisions of Section 16 of the Exchange Act, including the short-swing profit recovery provisions under Section 16(b).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the listing of our Class A Ordinary Shares on the Nasdaq Capital Market.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incur additional legal, accounting, and other expenses as a public reporting company, particularly after we cease to qualify as an emerging growth company. For example, we will be required to comply with the additional requirements of the rules and regulations of the SEC and Nasdaq rules, including applicable corporate governance practices.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guidelines are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 I</w:t>
      </w:r>
      <w:r>
        <w:rPr>
          <w:rFonts w:ascii="Times New Roman" w:cs="Times New Roman" w:eastAsia="Times New Roman" w:hAnsi="Times New Roman"/>
          <w:sz w:val="12"/>
          <w:szCs w:val="12"/>
          <w:b w:val="1"/>
          <w:bCs w:val="1"/>
          <w:color w:val="auto"/>
        </w:rPr>
        <w:t>nformation on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was incorporated in the British Virgin Islands on October 31, 2023, under the Companies Act as a business company with limited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an unlimited number of Class A Ordinary Shares and Class B Ordinary Shares with no par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sets forth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154305</wp:posOffset>
            </wp:positionV>
            <wp:extent cx="4705985" cy="1628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0598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our principal operating subsidiaries is set forth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2018, Sagtec Group was incorporated in Malaysia as a private company limited by shares. On May 27, 2019, Sagtec Group changed its name from Signage Alliance Group Sdn Bhd to Sagtec Group Sdn Bhd It commenced business on June 11, 2018 and is engaged in the provision of customizable software solutions. The solutions Sagtec Group provides include subscription services, software consultation and development services, social media management, data management and analysis services and sales of food ordering kiosks with screens. As part of a group reorganization on January 1, 2024, Sagtec Group became a subsidiary of our Company, with our ownership at 98.04%.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2019, CL Technologies was incorporated in Malaysia as a private company limited by shares. It commenced business on February 14, 2019 and is engaged in the customizable software solutions. The solutions CL Technologies provides include data management &amp; analysis services and social media management. CL Technologies is also engaged in providing sales of power bank charging stations. As part of a group reorganization on January 1, 2024, CL Technologies became a subsidiary of our company, with our ownership at 94.95%.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Sagtec Global Limited was incorporated in the British Virgin Islands as a British Virgin Islands business company on October 31, 2023, with BVI company number 2135152. Our registered office in the British Virgin Islands is at Vistra Corporate Services Centre, Wickhams Cay II, Road Town, Tortola, VG1110, British Virgin Islands. Our principal executive office is at Lot 6-2, Level 9, Equatorial Plaza, Jalan Sultan Ismail, 50250 Kuala Lumpur, Malaysia. Our telephone number at this location is +603-3310 0089. Our principal website address is </w:t>
      </w:r>
      <w:r>
        <w:rPr>
          <w:rFonts w:ascii="Times New Roman" w:cs="Times New Roman" w:eastAsia="Times New Roman" w:hAnsi="Times New Roman"/>
          <w:sz w:val="17"/>
          <w:szCs w:val="17"/>
          <w:i w:val="1"/>
          <w:iCs w:val="1"/>
          <w:color w:val="auto"/>
        </w:rPr>
        <w:t>https://www.sagtec-global.com/</w:t>
      </w:r>
      <w:r>
        <w:rPr>
          <w:rFonts w:ascii="Times New Roman" w:cs="Times New Roman" w:eastAsia="Times New Roman" w:hAnsi="Times New Roman"/>
          <w:sz w:val="17"/>
          <w:szCs w:val="17"/>
          <w:color w:val="auto"/>
        </w:rPr>
        <w:t>. The information contained on our</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website does not form part of this annual report. Our agent for service of process in the United States is Cogency Global Inc., 122 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4.B.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successful completion of the Company’s Initial Public Offering (“IPO”) in March 2025, the Company entered a pivotal phase of expansion, characterized by enhanced brand visibility, strengthened market credibility, and increased customer engagement. The IPO has significantly elevated the Company’s profile both domestically and internationally, enabling it to deepen relationships with existing clients, attract new customers from Dubai, Indonesia, and Singapore, and expand its dealer network. This heightened market confidence has translated into broad-based growth across all major business segments.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Incorporated in Malaysia in 2018, the Company specializes in delivering customizable software solutions that integrate seamlessly with operational workflows, particularly within the food and beverage (“F&amp;B”) sector. Its flagship product, Speed+, serves as an intelligent platform for digital ordering and transaction management. Installed on Point of Sale (“POS”) terminals sourced from reputable third-party suppliers, Speed+ enables efficient order processing and payment handling through a unified system. The Company also develops bespoke software solutions for table ordering, QR ordering, and self-service kiosk systems. For the years ended December 31, 2025, 2024 and 2023, revenue from Speed+ smart ordering and QR subscription services contributed 30.18%, 23.14% and 12.31% of total revenue, respectively, while software development services contributed 11.09%, 10.92% and 9.79%.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Company’s core clientele remains within Malaysia’s F&amp;B industry, the adaptability of its solutions allows it to serve a broader range of sectors, including geotechnology, beauty, and property consulting. The integration of AI-driven F&amp;B data analytics further enhances clients’ business intelligence and decision-making capabilities. This flexibility and industry-specific customization have positioned the Company as a trusted technology partner beyond the F&amp;B sector.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Complementing its software offerings, the Company also markets self-service food ordering kiosks designed to enhance customer experience and operational efficiency. These kiosks enable users to browse menus, customize orders, and complete payments seamlessly, while reducing labor dependency and improving service speed. For the years ended December 31, 2025, 2024 and 2023, kiosk sales accounted for 21.27%, 19.23% and 25.29% of total revenue, respectively, reflecting increasing adoption of automation within the F&amp;B industry. In addition, the Company provides robotic arm solutions to further enhance operational efficiency and customer experience.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F&amp;B sector, the Company continues to support a diverse client base through its software consultation and development services, which remain central to its innovation strategy. Its in-house programming team, with a combined 14 years of technical expertise, develops scalable and comprehensive digital solutions. For more complex projects, the Company collaborates with specialized outsourcing partners to ensure optimal delivery. This hybrid approach enables the Company to effectively meet evolving client requirements.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Recognizing the growing importance of digital presence, the Company’s social media management services have emerged as a key growth driver. The Company manages the online presence of Key Opinion Leaders (“KOLs”) and influencers, leveraging data analytics and performance-driven content strategies to optimize engagement. To enhance campaign effectiveness, an AI-driven analytics module has been implemented to enable more precise audience profiling, trend forecasting, and database optimization. This allows for deeper insights into user behavior and more targeted content delivery. For the years ended December 31, 2025, 2024 and 2023, this segment contributed 8.19%, 9.26% and 9.50% of total revenue,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through its majority-owned subsidiary, CL Technologies, the Company deploys and operates power bank charging stations across more than 300 locations in Malaysia. This segment addresses the growing demand for portable charging solutions in high-traffic public areas such as shopping malls and parks. Revenue contribution from this segment was 13.46%, 21.82% and 23.44% for the years ended December 31, 2025, 2024 and 2023,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provides data management solutions that enable clients to organize, process, and analyze raw data into actionable business insights. These services enhance data accessibility and analytical capabilities, forming an integral part of the Company’s ecosystem. For the years ended December 31, 2025, 2024 and 2023, data management services contributed 14.50%, 15.63% and 15.62% of total revenue,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performance reflects its strengthened post-IPO market position and consistent execution strategy. For the year ended December 31, 2023, our revenue was RM29,280,649 or $7,214,648 and our net profit was RM4,656,301 or $1,147,296. For the years ended December 31, 2024, we recorded total revenue of RM51,999,379 or $12,812,462 and a net profit of RM7,165,510 or $1,765,557. In comparison, for the year ended December 31, 2025, revenue surged to RM77,510,474 or $19,098,306 while net profit climbed to RM7,294,213 or $1,797,268 representing a 49% increase in revenue and 2% growth in net profit.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cost of sales was RM21,112,777 or $5,202,113. The cost of sales rose in tandem with higher business activity, from RM39,841,428 or $9,816,786 in the year ended December 31, 2024 to RM59,885,461 or $14,755,566 in the year ended December 31, 2025, driven by scaling of operations and expansion into new market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10, 2025, the Company completed its initial public offering on the Nasdaq Capital Market. In this offering, 1,750,000 Class A Ordinary Shares (formerly ordinary shares of no par value) were issued at a price of $4.00 per share. The gross proceeds received from the initial public offering totaled $7 million. After deducting underwriting discounts and the offering expenses the Company received net proceeds of $5,990,381.96 million. The offering closed on March 10, 2025 and the Class A Ordinary Shares (formerly ordinary shares of no par value) began trading on March 7, 2025 on the Nasdaq Capital Market under the ticker symbol “SAGT.”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2025, the Company entered into a Master Dealer Agreement with SMD TECH - FZCO (“SMD TECH”), appointing SMD TECH as the exclusive master dealer for the Company’s Speed+ Cloud Base Smart Ordering System in Dubai. Under the Master Dealer Agreement, SMD TECH has committed to a minimum annual purchase of 10,000 licenses of Speed+ software, maintain an adequate business venue and storage facility, employ competent sales staff to solicit orders and provide excellent customer service, provide training for safe product operation, and act as an intermediary between end users and the Company for inquiries or concerns. The Master Dealer Agreement will remain in effect till December 31, 2025, and will automatically renew for an additional one-year term unless either party notifies the other party in writing at least fifteen (15) calendar days of prior.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16, 2025, Mr. Lai Fuu Sing tendered his resignation as an independent director, Chair of the Audit Committee, and member of the Compensation and Nomination Committee of the Company, effective May 16, 2025. Mr. Lai Fuu Sing’s resignation was not a result of any disagreement with the Company’s operations, policies or procedures. On May 16, 2025, approved by the Board of Directors, the Nominating Committee and the Compensation Committee, Mr. Chen Xiang Foong was appointed as an independent director and the Chair of the Audit Committee of the Company, effective May 16,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16, 2025, Ms. Pang Seng Wee tendered her resignation as an independent director, Chair of the Compensation Committee, and member of the Audit and Nomination Committee of the Company, effective May 16, 2025. Ms. Pang Seng Wee’s resignation was not a result of any disagreement with the Company’s operations, policies or procedures. On May 16, 2025, approved by the Board of Directors, the Nominating Committee and the Compensation Committee, Ms. Elain binti Lockman was appointed as the director and the Chair of the Compensation Committee of the Company, effective May 16,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15, 2025, the Company announced via press release that it has entered into an IT Consultancy Agreement on August 13, 2025, with Malaya Heritage Holding Limited, where the Company will provide consultancy and development of a customized F&amp;B Outlet Management System, Service Robotic Technology for F&amp;B operations, and Central Kitchen Automation Robotic Systems for Malaya Heritage Holding Limited.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held its 2025 extraordinary general meeting of the shareholders, wherein a dual-class share structure and the creation of two new classes of shares was approved. Class A Ordinary Shares carry one (1) vote per share, while Class B Ordinary Shares carry twenty (20) votes per share and rank parri passu as to distributions (including on a liquidation). Additionally, it was also approved that 2,000,000 Ordinary Shares held by Ng Chen Lok were redesignated as Class B Ordinary Shares, and his remaining ordinary shares were redesignated as Class A Ordinary Shares.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21, 2025, the Company entered into a licensing and technology collaboration agreement (the “Licensing Agreement”) with Kinetic Seas Incorporated (“Kinetic Seas”) wherein the Company obtained rights to utilize Kinetic Seas’ Skilliks platform and AI technologies, and the parties agreed to jointly develop and commercialize AI and enterprise software solutions for Sagtec’s current and prospective client base.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2026, the Company entered into a software development agreement with Grandpride Luxury Travel Sdn. Bhd., pursuant to which the Company will design, develop and deliver a software system known as the Smart AI E-Hailing &amp; Car Rental and Subscription System / Program for Grandpride Luxury Travel Sdn. Bhd.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14, 2026, Mr. Robert M. Harrison tendered his resignation as an independent director, Chair of the Nomination Committee, and member of the Audit and Compensation Committee of the Company, effective January 14, 2026. Mr. Robert M. Harrison’s resignation was not a result of any disagreement with the Company’s operations, policies or procedures. On May 16, 2025, approved by the Board of Directors, the Nominating Committee and the Compensation Committee, Mr. Ng Aik Soon was appointed as the director and the Chair of the Nomination Committee of the Company, effective January 14,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20, 2026, the Company entered into a project funding agreement with a local property developer in Malaysia in connection with a residential township development comprising 84 townhouse units. Pursuant to the project funding agreement, the Company has committed project funding of approximately RM7.6 million (approximately US$1.93 million), subject to agreed drawdown conditions, to support a defined phase of the development. Repayment of the funding is structured through the transfer of specified completed residential units and/or cash settlement, calculated by reference to the realized or assessed sale value of comparable units within the project.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2026, the Company adopted a 2026 equity incentive plan (the “2026 Plan”) to motivate, attract and retain directors, consultants or key employees to exert their best efforts on behalf of the Company and link their personal interests to those of the Company’s shareholders. The 2026 Plan has a maximum number of 1,965,000 Class A Ordinary Shares of the Company available for issuance pursuant to all awards under the 2026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top 3 categories of sales were subscription services, food ordering kiosk with screen and data management and analysis services, which accounted for RM23,393,531 (USD5,764,082), RM16,483,810 (USD4,061,553), and RM11,237,232 (USD2,768,814)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diagrams below illustrate the suite of solutions which we currently offer.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Speed+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156845</wp:posOffset>
            </wp:positionV>
            <wp:extent cx="5263515" cy="1440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6351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has developed the Speed+ “Smart Mobile Ordering” System, which is a user-friendly, cloud-based solution that allows customers to manage their business from anywhere with internet access. It offers integrated software and hardware features with a monthly subscription, eliminating the need for high investment and complex installations. At less than RM5 per day, it provides a cost-effective solution for the F&amp;B industry to improve their technology environment, reduce human error, and enhance daily operations. This positions Speed+ to continue to grow business in the F&amp;B market.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Speed+ system is a comprehensive solution for businesses, offering a range of features including Store, Table, Item, Category, Device, POS, Printer, Order, Staff Management, and Admin and Manager Settings. It provides various products such as the “Smart Ordering System”, “QR Code Table Ordering System”, “Ordering &amp; E-Payment Solutions”, “Light version Delivery Order System”, and “Self Ordering Kiosk Machine &amp; Software”. Additionally, it offers customized software application development. This cloud-based system allows users to manage their business from anywhere, making it a cost-effective and efficient solution for the F&amp;B industry.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Software Consultation and Development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also provides software consultation and development services, which includes developing office management and customized application software. To start, we usually consult with our customers to ensure that their requirements and needs are understood and addressed, before proposing various solutions based on the consultation. For our customized application software, we can provide customized corporate application development with an associated dedicated server set-up, with features such as remote access to data storage and corporate management. Regarding our office management software, we also develop server storage and firewall infrastructure, software security, PHP web-based back-end development, and app-based front-end development. Our various options and features allow us to provide customized solutions to accurately address our customers’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Management and Analysis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Company provides data management and analysis services for various customers, which includes the processing of data in accordance with the appropriate technical and organizational measures to ensure minimal security risks. Our job scope usually entails raster data editing, modifying images that are composed of pixels to specific resolutions to meet our customer’s requirements. This involves generating, modifying, and creating natural color metadata to produce an image with seamless color balance, while ensuring that the image is in the specific format requested by our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Functionality Testing, Inspection of Equipment and Quality Control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has established a quality control and assurance system for our technological solutions. We define specific criteria to determine quality benchmarks, while also implementing weekly ‘stress tests’ on our products and technological solutions to help identify defects, deviations from quality standards, and any need for corrective actions. Additionally, we also train our employees on quality standards, procedures, and best practices, to ensure that team members understand their roles in maintaining the highest standards set by our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selecting our suppliers, we also evaluate and select reliable suppliers with a proven track record in the market who can meet our quality standards, while continuing to monitor their performance throughout the duration of our contracts with them. Lastly, we have also implemented feedback loops for continuous improvement, collecting feedback from our customers, employees and stakeholders to identify areas of improvement, and ensuring that changes are made to maintain our quality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can be categorized into two groups, (i) direct customers, who purchase our technological solutions directly from us and (ii) distributors and resellers, who procure our technological solutions from us for resale to end user customers. Our end user customers operate in various industries which range from retail shops in both online and offline formats, small and medium enterprises, and large corporate clients. Our customers who are distributors and resellers usually specialize in software distribution, with large networks of customers with varying backgrounds, while further possessing experience which we can learn from through obtaining their feedback. Our company places great emphasis on customer satisfaction, as we believe that this is the cornerstone of successful businesses, directly impacting loyalty, repeat business, and overall company reputation.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include both enterprises and individuals. We have derived a substantial portion of our revenue from sales to a limited number of customers. For the years ended December 31, 2025, 2024 and 2023, our top five customers accounted for 71.12%, 71.63% and 63.63% of our total revenue, respectively, with Rams Solutions Sdn Bhd, KLC Ventures Sdn Bhd. and SM Prominent Sdn Bhd comprising 12.16%, 19.23% and 25.96% for the year ended December 31, 2025, Rams Solutions Sdn Bhd, KLC Ventures Sdn Bhd. and SM Prominent Sdn Bhd comprising 24.20%, 12.89% and 24.26% for the year ended December 31, 2024, KLC Ventures Sdn Bhd, SM Prominent Sdn Bhd and RAMS Solutions Sdn Bhd comprising 16.80%, 17.00% and 13.66% for the year ended December 31,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continually seek to diversify our customer base, we cannot assure you that the proportion of revenue contribution from our major customers to our total revenue will decrease in the future. Dependence on a limited number of major customers to our total revenue exposes us to risks of substantial losses if any of them reduces or ceases business collaboration with us. Specifically, any one of the following events, among others, may cause material fluctuations or declines in our revenue, and have a material and adverse effect on our business, results of operations, financial condition and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Material agreements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entered into the following material contracts with our top customers below:</w:t>
      </w:r>
    </w:p>
    <w:p>
      <w:pPr>
        <w:spacing w:after="0" w:line="223" w:lineRule="exact"/>
        <w:rPr>
          <w:sz w:val="20"/>
          <w:szCs w:val="20"/>
          <w:color w:val="auto"/>
        </w:rPr>
      </w:pPr>
    </w:p>
    <w:p>
      <w:pPr>
        <w:ind w:left="340" w:hanging="332"/>
        <w:spacing w:after="0" w:line="284" w:lineRule="auto"/>
        <w:tabs>
          <w:tab w:leader="none" w:pos="3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Software Development Agreement, Data Management Service Agreement, Social Media Management Agreement, Power Bank Charging Station Agreement and Food Ordering Kiosk Agreement with Rams Solutions Sdn Bhd</w:t>
      </w:r>
    </w:p>
    <w:p>
      <w:pPr>
        <w:spacing w:after="0" w:line="16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Agreement dated March 01, 2025 with Rams Solutions Sdn Bhd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Rams Solutions Sdn Bhd engaged CL Technologies for the processing and management of personal data in accordance with the requirements of General Data Protection Regulations. The Data Management Agreement is on an invoice basis and does not specify the term or duration of the Data Management Agreement. The material terms of the contract are as follows:</w:t>
      </w:r>
    </w:p>
    <w:p>
      <w:pPr>
        <w:spacing w:after="0" w:line="176" w:lineRule="exact"/>
        <w:rPr>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 CL Technologies will provide the relevant data management and processing services in accordance with ongoing applicable Data Protection Laws in the processing of personal data and will take responsible measures to ensure that any employees, agents or contractors of CL Technologies who have access to personal data will comply in a similar manner as CL Technologies with any ongoing applicable Data Protection Laws.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Subprocessing: CL Technologies will implement appropriate technical and organizational measures to ensure a level of security appropriate to mitigate security risks, while also establishing processes to remedy any data breach. CL Technologies will not disclose any personal data to any third party subprocessor unless authorized by Rams Solutions Sdn Bhd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 In the event of a data breach, CL Technologies will inform Rams Solutions Sdn Bhd of the breach without any undue delay and will provide Rams Solutions Sdn Bhd with sufficient information for its reporting obligations.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may terminate the Agreement with 7 days of written notice with cause, in the event the cause of the breach cannot be remedied. Either party may terminate the Agreement in the event of insolvency or bankruptcy. In the event of termination, CL Technologies shall delete all copies of personal data within 10 business days of cessation of services.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Software Development Agreement dated May 2, 2025 with Rams Solutions Sdn Bhd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Rams Solutions Sdn Bhd engaged CL Technologies to develop office management software. The key terms of the contract are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Work and Duration: The duration of the contract is effective from the date of signature till satisfactory project completion. Any additional work outside the original scope will require a formal change request with a detailed description of requested changes. CL Technologies is responsible for: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of the software according to milestones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multiple testing for quality assurance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implementation support and training sessions after delivery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process updates and milestone reports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30 days of post-delivery maintenance and support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All rights, titles, and IP rights will be transferred to Rams Solutions Sdn Bhd upon full payment, with CL Technologies retaining the right to showcase the software for portfolio/marketing purposes. Rams Solutions Sdn Bhd will also receive a perpetual, non-exclusive license for internal use and the source code upon final payment, with the right to modify and enhance the software independently.</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Support: CL Technologies warrants that the software will operate in accordance with required specifications and will provide a 30-day bug fix period after final delivery where prompt fixes and updates will be made to any report bugs or issues, provided that the description of the bugs contain sufficient information.</w:t>
      </w:r>
    </w:p>
    <w:p>
      <w:pPr>
        <w:spacing w:after="0" w:line="176" w:lineRule="exact"/>
        <w:rPr>
          <w:sz w:val="20"/>
          <w:szCs w:val="20"/>
          <w:color w:val="auto"/>
        </w:rPr>
      </w:pPr>
    </w:p>
    <w:p>
      <w:pPr>
        <w:jc w:val="both"/>
        <w:ind w:left="660" w:hanging="328"/>
        <w:spacing w:after="0" w:line="258"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can terminate for convenience upon 7 days written notice, while immediate termination is allowed for material breaches including confidentiality breaches, payment failures and intellectual property violations. Upon termination, if Rams Solutions Sdn Bhd terminates, CL Technologies must refund unearned fees for work not performed, while if CL Technologies terminates, Rams Solutions Sdn Bhd must pay for all completed work and expenses. After termination, Rams Solutions Sdn Bhd is obliged to return all deliverables, documentation, and materials, and cannot retain copies of any materials.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Powerbank Charging Station Invoice dated May 5, 2025 with Rams Solutions Sdn Bhd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Powerbank Charging Station invoices, CL Technologies engages with each customer on an invoice basis to provide powerbank charging stations according to the customer’s specifications, with 30 days credit terms. There is no underlying contract between the Company and Rams Solutions Sdn Bhd, and all orders are done on an invoice basis with no specified term or duration.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Social Media Management Agreement dated January 1, 2025 with Rams Solutions Sdn Bhd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Rams Solutions Sdn Bhd engaged CL Technologies to provide social media management services. The Social Media Management Agreement is on an invoice basis and does not specify the term or duration of the Social Media Management Agreement. The material terms of the contract are as follows:</w:t>
      </w:r>
    </w:p>
    <w:p>
      <w:pPr>
        <w:spacing w:after="0" w:line="162"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Work: CL Technologies shall schedule and post content provided by Rams Solutions Sdn Bhd to Rams Solutions Sdn Bhd’s social media channels including those on Facebook, Instagram, LinkedIn, Tiktok, Twitter, Google and Youtube and Sagtec is responsible for: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engagements such as replying to comments, voting polls and direct messages.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monitoring of activities, mentions and conversations around Rams Solutions Sdn Bhd and Rams Solutions Sdn Bhd’s brand,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blogposts and analyzing social media reports and results from campaigns.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and Intellectual Property: All content created by CL Technologies including social media posts, blog posts, designs, videos and images shall be owned by Rams Solutions Sdn Bhd.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may terminate the Agreement with 7 days of written notice in the event of a breach of terms of the agreement. Upon termination, CL Technologies agrees to finish all pending works, projects or assignments given to the Company by CL Technologies and permanently delete all information or programs related to Rams Solutions Sdn Bhd.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tabs>
          <w:tab w:leader="none" w:pos="320" w:val="left"/>
        </w:tabs>
        <w:rPr>
          <w:sz w:val="20"/>
          <w:szCs w:val="20"/>
          <w:color w:val="auto"/>
        </w:rPr>
      </w:pPr>
      <w:r>
        <w:rPr>
          <w:rFonts w:ascii="Times New Roman" w:cs="Times New Roman" w:eastAsia="Times New Roman" w:hAnsi="Times New Roman"/>
          <w:sz w:val="18"/>
          <w:szCs w:val="18"/>
          <w:color w:val="auto"/>
        </w:rPr>
        <w:t>V.</w:t>
      </w:r>
      <w:r>
        <w:rPr>
          <w:sz w:val="20"/>
          <w:szCs w:val="20"/>
          <w:color w:val="auto"/>
        </w:rPr>
        <w:tab/>
      </w:r>
      <w:r>
        <w:rPr>
          <w:rFonts w:ascii="Times New Roman" w:cs="Times New Roman" w:eastAsia="Times New Roman" w:hAnsi="Times New Roman"/>
          <w:sz w:val="17"/>
          <w:szCs w:val="17"/>
          <w:color w:val="auto"/>
        </w:rPr>
        <w:t>Food Ordering Kiosk Invoice dated February 25, 2025 with Rams Solutions Sdn Bhd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Food Ordering Kiosk invoices, Sagtec Group engages with each customer on an invoice basis to provide food ordering kiosks according to the customer’s specifications with a warranty period of 12 months, with 30 days credit terms.</w:t>
      </w:r>
    </w:p>
    <w:p>
      <w:pPr>
        <w:spacing w:after="0" w:line="160" w:lineRule="exact"/>
        <w:rPr>
          <w:sz w:val="20"/>
          <w:szCs w:val="20"/>
          <w:color w:val="auto"/>
        </w:rPr>
      </w:pPr>
    </w:p>
    <w:p>
      <w:pPr>
        <w:jc w:val="both"/>
        <w:ind w:left="340" w:hanging="332"/>
        <w:spacing w:after="0" w:line="267" w:lineRule="auto"/>
        <w:tabs>
          <w:tab w:leader="none" w:pos="34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Data Management Service Agreement, Social Media Management Agreement, Food Ordering Kiosk Agreement, Speed+ Smart Mobile Pos Agreement, Speed + Mobile QR Ordering Agreement, Software Development Agreement and AI Service Robotic Machine Rental Agreement with KLC Ventures Sdn Bhd</w:t>
      </w:r>
    </w:p>
    <w:p>
      <w:pPr>
        <w:spacing w:after="0" w:line="17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Agreement dated January 1, 2024 with KLC Ventures Sdn Bhd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KLC Ventures Sdn Bhd engaged Sagtec Group for the processing and management of personal data in accordance with the requirements of General Data Protection Regulations. The Data Management Agreement is on an invoice basis and does not specify the term or duration of the Data Management Agreement. The material terms of the contract are as follows:</w:t>
      </w:r>
    </w:p>
    <w:p>
      <w:pPr>
        <w:spacing w:after="0" w:line="176" w:lineRule="exact"/>
        <w:rPr>
          <w:sz w:val="20"/>
          <w:szCs w:val="20"/>
          <w:color w:val="auto"/>
        </w:rPr>
      </w:pPr>
    </w:p>
    <w:p>
      <w:pPr>
        <w:jc w:val="both"/>
        <w:ind w:left="660" w:hanging="328"/>
        <w:spacing w:after="0" w:line="261"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 Sagtec Group will provide the relevant data management and processing services in accordance with ongoing applicable Data Protection Laws in the processing of personal data and will take responsible measures to ensure that any employees, agents or contractors of Sagtec Group who have access to personal data will comply in a similar manner as Sagtec Group with any ongoing applicable Data Protection Laws.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Subprocessing: Sagtec Group will implement appropriate technical and organizational measures to ensure a level of security appropriate to mitigate security risks, while also establishing processes to remedy any data breach. Sagtec Group will not disclose any personal data to any third party subprocessor unless authorized by KLC Ventures Sdn Bhd.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 In the event of a data breach, Sagtec Group will inform KLC Ventures Sdn Bhd of the breach without any undue delay and will provide KLC Ventures Sdn Bhd with sufficient information for its reporting obligations.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may terminate the Agreement with 7 days of written notice with cause, in the event the cause of the breach cannot be remedied. Either party may terminate the Agreement in the event of insolvency or bankruptcy. In the event of termination, Sagtec Group shall delete all copies of personal data within 10 business days of cessation of services.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Management Agreement dated January 1, 2024 with KLC Ventures Sdn Bhd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KLC Ventures Sdn Bhd engaged Sagtec Group to provide social media management services. The Social Media Management Agreement is on an invoice basis and does not specify the term or duration of the Social Media Management Agreement. The material terms of the contract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Work: Sagtec Group shall schedule and post content provided by KLC Ventures Sdn Bhd to KLC Ventures Sdn Bhd’s social media channels including those on Facebook, Instagram, LinkedIn, Tiktok, Twitter, Google and Youtube and Sagtec is responsible for: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engagements such as replying to comments, voting polls and direct messages.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monitoring of activities, mentions and conversations around KLC Ventures Sdn Bhd and KLC Ventures Sdn Bhd’s brand,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blogposts and analyzing social media reports and results from campaigns.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and Intellectual Property: All content created by Sagtec Group including social media posts, blog posts, designs, videos and images shall be owned by KLC Ventures Sdn Bhd.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may terminate the Agreement with 7 days of written notice in the event of a breach of terms of the agreement. Upon termination, Sagtec Group agrees to finish all pending works, projects or assignments given to the Company by Sagtec Group and permanently delete all information or programs related to KLC Ventures Sdn Bhd.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Software Development Agreement dated August 2, 2025 with KLC Ventures Sdn Bhd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KLC Ventures Sdn Bhd engaged Sagtec Group to develop office management software. The key terms of the contract are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Work and Duration: The duration of the contract is effective from the date of signature till satisfactory project completion. Any additional work outside the original scope will require a formal change request with a detailed description of requested changes. Sagtec Group is responsible for:</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Design and development of the software according to milestones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multiple testing for quality assurance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implementation support and training sessions after delivery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process updates and milestone reports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30 days of post-delivery maintenance and support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All rights, titles, and IP rights will be transferred to KLC Ventures Sdn Bhd upon full payment, with Sagtec Group retaining the right to showcase the software for portfolio/marketing purposes. KLC Ventures Sdn Bhd will also receive a perpetual, non-exclusive license for internal use and the source code upon final payment, with the right to modify and enhance the software independently.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Support: Sagtec Group warrants that the software will operate in accordance with required specifications and will provide a 30-day bug fix period after final delivery where prompt fixes and updates will be made to any report bugs or issues, provided that the description of the bugs contain sufficient information.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can terminate for convenience upon 7 days written notice, while immediate termination is allowed for material breaches including confidentiality breaches, payment failures and intellectual property violations. Upon termination, if KLC Ventures Sdn Bhd terminates, Sagtec Group must refund unearned fees for work not performed, while if Sagtec Group terminates, KLC Ventures Sdn Bhd must pay for all completed work and expenses. After termination, KLC Ventures Sdn Bhd is obliged to return all deliverables, documentation, and materials, and cannot retain copies of any materials.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Food Ordering Kiosk Invoice dated December 5, 2025 with KLC Ventures Sdn Bhd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Food Ordering Kiosk invoices, Sagtec Group engages with each customer on an invoice basis to provide food ordering kiosks according to the customer’s specifications with a warranty period of 12 months, with 30 days credit terms.</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V.</w:t>
      </w:r>
      <w:r>
        <w:rPr>
          <w:sz w:val="20"/>
          <w:szCs w:val="20"/>
          <w:color w:val="auto"/>
        </w:rPr>
        <w:tab/>
      </w:r>
      <w:r>
        <w:rPr>
          <w:rFonts w:ascii="Times New Roman" w:cs="Times New Roman" w:eastAsia="Times New Roman" w:hAnsi="Times New Roman"/>
          <w:sz w:val="17"/>
          <w:szCs w:val="17"/>
          <w:color w:val="auto"/>
        </w:rPr>
        <w:t>Speed + Mobile QR Ordering System Invoice dated December 1, 2025 with KLC Ventures Sdn Bhd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Speed + Mobile QR Ordering System invoices, Sagtec Group engages with each customer on an invoice basis to provide Speed + Mobile QR Ordering Systems according to the customer’s specifications, with 30 days credit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Speed + Smart Mobile Pos Invoice dated December 1, 2025 with KLC Ventures Sdn Bhd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Speed + Smart Mobile Pos invoices, Sagtec Group engages with each customer on an invoice basis to provide Speed + Smart Mobile Pos according to the customer’s specifications, with 30 days credit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AI Service Robotic Machine Rental Agreement dated August 1, 2025 with KLC Ventures Sdn Bhd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KLC Ventures Sdn Bhd engaged Sagtec Global to rent the AI Servie Robotic Machines (Food &amp; Beverage AI Robotic Kiosk – Coffee). The key terms of the contract are as follows:</w:t>
      </w:r>
    </w:p>
    <w:p>
      <w:pPr>
        <w:spacing w:after="0" w:line="162"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Term: The agreement shall commence on August 1, 2025 and shall continue unless terminated in accordance with this Agreement. Rental shall be charged on a monthly basis.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Fee: Rental rate is RM3,800 per unit per month. The total monthly rental payable shall be calculated based on the quantity of machines rented for that month.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and Acceptance: Sagtec Global shall arrange delivery and installations at locations mutually agreed. Risk of loss or damage passes to KLC Ventures Sdn Bhd upon delivery.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use: Sagtec Global shall provide standard maintenance and technical support during the renter period. KLC Ventures Sdn Bhd shall use the equipment in accordance with operational guideline, ensure proper power supply and safe operating environment and not relocate, modify or tamper with the equipment without written consent. Any damage arising from misuse, negligence or unauthorized modification shall be borne by KLC Ventures Sdn Bhd.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All rented equipment remains the sole property of Sagtec Global.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can terminate for convenience upon 30 days written notice. Upon termination, all outstanding invoices shall become immediately due and Sagtec Global may repossess the equipment.</w:t>
      </w:r>
    </w:p>
    <w:p>
      <w:pPr>
        <w:spacing w:after="0" w:line="159"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Food Ordering Kiosk Agreement, Power Bank Charging Station Agreement, Speed + Mobile QR Ordering System Agreement, Speed+ Smart Mobile Pos Agreement, Social Media Management Agreement, Data Management Agreement, Software Development Agreement and AI Service Robotic Machine Rental Agreement with SM Prominent Sdn Bhd</w:t>
      </w:r>
    </w:p>
    <w:p>
      <w:pPr>
        <w:spacing w:after="0" w:line="175"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Ordering Kiosk Invoice dated September 13, 2025 with SM Prominent Sdn Bhd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Food Ordering Kiosk invoices, Sagtec Global engages with each customer on an invoice basis to provide food ordering kiosks according to the customer’s specifications with a warranty period of 12 months, with 30 days credit terms.</w:t>
      </w:r>
    </w:p>
    <w:p>
      <w:pPr>
        <w:spacing w:after="0" w:line="162"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Powerbank Charging Station Invoice dated October 16, 2025 with SM Prominent Sdn Bhd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Powerbank Charging Station invoices, CL Technologies engages with each customer on an invoice basis to provide powerbank charging stations according to the customer’s specifications, with 30 days credit terms. There is no underlying contract between the Company and SM Prominent Sdn Bhd, and all orders are done on an invoice basis with no specified term or duration.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Agreement dated September 1, 2025 with SM Prominent Sdn Bhd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 Prominent Sdn Bhd engaged Sagtec Global to develop office management software. The key terms of the contract are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Work and Duration: The duration of the contract is effective from the date of signature till satisfactory project completion. Any additional work outside the original scope will require a formal change request with a detailed description of requested changes. Sagtec Global is responsible for: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of the software according to milestones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multiple testing for quality assurance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implementation support and training sessions after delivery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process updates and milestone reports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30 days of post-delivery maintenance and support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All rights, titles, and IP rights will be transferred to SM Prominent Sdn Bhd upon full payment, with Sagtec Global retaining the right to showcase the software for portfolio/marketing purposes. SM Prominent Sdn Bhd will also receive a perpetual, non-exclusive license for internal use and the source code upon final payment, with the right to modify and enhance the software independently.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Support: Sagtec Global warrants that the software will operate in accordance with required specifications and will provide a 30-day bug fix period after final delivery where prompt fixes and updates will be made to any report bugs or issues, provided that the description of the bugs contain sufficient information.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can terminate for convenience upon 7 days written notice, while immediate termination is allowed for material breaches including confidentiality breaches, payment failures and intellectual property violations. Upon termination, if SM Prominent Sdn Bhd terminates, Sagtec Global must refund unearned fees for work not performed, while if Sagtec Global terminates, SM Prominent Sdn Bhd must pay for all completed work and expenses. After termination, SM Prominent Sdn Bhd is obliged to return all deliverables, documentation, and materials, and cannot retain copies of any materials.</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IV.</w:t>
        <w:tab/>
        <w:t>Speed + Mobile QR Ordering System Invoice dated December 1, 2025 with SM Prominent Sdn Bhd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Speed + Mobile QR Ordering System invoices, Sagtec Global engages with each customer on an invoice basis to provide Speed + Mobile QR Ordering Systems according to the customer’s specifications, with 30 days credit terms.</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V.</w:t>
      </w:r>
      <w:r>
        <w:rPr>
          <w:sz w:val="20"/>
          <w:szCs w:val="20"/>
          <w:color w:val="auto"/>
        </w:rPr>
        <w:tab/>
      </w:r>
      <w:r>
        <w:rPr>
          <w:rFonts w:ascii="Times New Roman" w:cs="Times New Roman" w:eastAsia="Times New Roman" w:hAnsi="Times New Roman"/>
          <w:sz w:val="17"/>
          <w:szCs w:val="17"/>
          <w:color w:val="auto"/>
        </w:rPr>
        <w:t>Speed + Smart Mobile Pos Invoice dated December 1, 2025 with SM Prominent Sdn Bhd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Speed + Smart Mobile Pos invoices, Sagtec Global engages with each customer on an invoice basis to provide Speed + Smart Mobile Pos according to the customer’s specifications, with 30 days credit terms.</w:t>
      </w:r>
    </w:p>
    <w:p>
      <w:pPr>
        <w:spacing w:after="0" w:line="16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VI.</w:t>
        <w:tab/>
        <w:t>Social Media Management Agreement dated September 1, 2024 with SM Prominent Sdn Bhd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SM Prominent Sdn Bhd engaged Sagtec Group to provide social media management services. The Social Media Management Agreement is on an invoice basis and does not specify the term or duration of the Social Media Management Agreement. The material terms of the contract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Work: Sagtec Group shall schedule and post content provided by SM Prominent Sdn Bhd to SM Prominent Sdn Bhd’s social media channels including those on Facebook, Instagram, LinkedIn, Tiktok, Twitter, Google and Youtube and Sagtec is responsible for: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engagements such as replying to comments, voting polls and direct messages.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monitoring of activities, mentions and conversations around SM Prominent Sdn Bhd and SM Prominent Sdn Bhd’s brand,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blogposts and analyzing social media reports and results from campaigns.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and Intellectual Property: All content created by Sagtec Group including social media posts, blog posts, designs, videos and images shall be owned by SM Prominent Sdn Bhd.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may terminate the Agreement with 7 days of written notice in the event of a breach of terms of the agreement. Upon termination, Sagtec Group agrees to finish all pending works, projects or assignments given to the Company by Sagtec Group and permanently delete all information or programs related to SM Prominent Sdn Bhd.</w:t>
      </w:r>
    </w:p>
    <w:p>
      <w:pPr>
        <w:spacing w:after="0" w:line="1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VII.</w:t>
      </w:r>
      <w:r>
        <w:rPr>
          <w:sz w:val="20"/>
          <w:szCs w:val="20"/>
          <w:color w:val="auto"/>
        </w:rPr>
        <w:tab/>
      </w:r>
      <w:r>
        <w:rPr>
          <w:rFonts w:ascii="Times New Roman" w:cs="Times New Roman" w:eastAsia="Times New Roman" w:hAnsi="Times New Roman"/>
          <w:sz w:val="17"/>
          <w:szCs w:val="17"/>
          <w:color w:val="auto"/>
        </w:rPr>
        <w:t>Data Management Agreement dated October 1, 2024 with SM Prominent Sdn Bhd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SM Prominent Sdn Bhd engaged Sagtec Group for the processing and management of personal data in accordance with the requirements of General Data Protection Regulations. The Data Management Agreement is on an invoice basis and does not specify the term or duration of the Data Management Agreement. The material terms of the contract are as follows: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 Sagtec Group will provide the relevant data management and processing services in accordance with ongoing applicable Data Protection Laws in the processing of personal data and will take responsible measures to ensure that any employees, agents or contractors of Sagtec Group who have access to personal data will comply in a similar manner as Sagtec with any ongoing applicable Data Protection Laws.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Subprocessing: Sagtec Group will implement appropriate technical and organizational measures to ensure a level of security appropriate to mitigate security risks, while also establishing processes to remedy any data breach. Sagtec Group will not disclose any personal data to any third party subprocessor unless authorized by SM Prominent Sdn Bhd.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 In the event of a data breach, Sagtec Group will inform SM Prominent Sdn Bhd of the breach without any undue delay and will provide SM Prominent Sdn Bhd with sufficient information for its reporting obligations.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may terminate the Agreement with 7 days of written notice with cause, in the event the cause of the breach cannot be remedied. Either party may terminate the Agreement in the event of insolvency or bankruptcy. In the event of termination, Sagtec Group shall delete all copies of personal data within 10 business days of cessation of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AI Service Robotic Machine Rental Agreement dated September 1, 2025 with SM Prominent Sdn Bhd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SM Prominent Sdn Bhd engaged Sagtec Global to rent the AI Servie Robotic Machines (Food &amp; Beverage AI Robotic Kiosk – Coffee). The key terms of the contract are as follows:</w:t>
      </w:r>
    </w:p>
    <w:p>
      <w:pPr>
        <w:spacing w:after="0" w:line="162"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Term: The agreement shall commence on August 1, 2025 and shall continue unless terminated in accordance with this Agreement. Rental shall be charged on a monthly basis.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Fee: Rental rate is RM3,800 per unit per month. The total monthly rental payable shall be calculated based on the quantity of machines rented for that month.</w:t>
      </w:r>
    </w:p>
    <w:p>
      <w:pPr>
        <w:spacing w:after="0" w:line="161" w:lineRule="exact"/>
        <w:rPr>
          <w:rFonts w:ascii="Times New Roman" w:cs="Times New Roman" w:eastAsia="Times New Roman" w:hAnsi="Times New Roman"/>
          <w:sz w:val="18"/>
          <w:szCs w:val="18"/>
          <w:color w:val="auto"/>
        </w:rPr>
      </w:pPr>
    </w:p>
    <w:p>
      <w:pPr>
        <w:ind w:left="660" w:right="214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and Acceptance: Sagtec Global shall arrange delivery and installations at locations mutually agreed. Risk of loss or damage passes to SM Prominent Sdn Bhd upon delivery.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left="660" w:hanging="328"/>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use: Sagtec Global shall provide standard maintenance and technical support during the renter period. KLC Prominent Sdn Bhd shall use the equipment in accordance with operational guideline, ensure proper power supply and safe operating environment and not relocate, modify or tamper with the equipment without written consent. Any damage arising from misuse, negligence or unauthorized modification shall be borne by SM Prominent Sdn Bhd.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All rented equipment remains the sole property of Sagtec Global.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Either party can terminate for convenience upon 30 days written notice. Upon termination, all outstanding invoices shall become immediately due and Sagtec Global may repossess the equipment.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summary, our contracts for the provision of our products and services contain standard terms providing for the responsibilities of each party, confidentiality and data protection clauses, as well as clauses which provide for when termination rights of each party will arise. For example, our data management contracts contain terms which provide for the necessary technical and organizational security measures, while implementing procedures targeted at risks associated with data breaches, while our social media management contracts contain terms providing for the scheduling and posting of content to our customers’ social media channels, as well as providing social media engagement, monitoring and analysis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suppliers are vendors who provide us with Point of Sale (POS) machines, which we install our Speed+ software prior to leasing to our clients. We place great importance in supplier selection, ensuring that we receive reliable equipment and constant access for troubleshooting potential hardware issues. For the year ended December 31, 2025, two vendors accounted for 23.57% and 37.62% of our cost of sales, for the year ended December 31, 2024, two vendors accounted for 34.39% and 26.49% of our cost of sales, for the year ended December 31, 2023, two vendors accounted for 30.69% and 49.04% of our cost of sales.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continually seek to diversify our supplier base, we cannot assure you that we will be able to source for suppliers who are able to provide comparable products at a similar cost. Should any of our suppliers reduce or cease business collaboration with us, this may cause material fluctuations or declines in our revenue and have a material and adverse effect on our business, results of operations, financial condition and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Material agreements with suppliers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entered into the following material contracts with our top two suppliers and their projects: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Product Sales Agreement with ShenZhen Yibaite Software Co. Ltd dated August 1, 2024</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Sagtec Global entered into a Product Sales Agreement with ShenZhen Yibaite Software Co. Ltd for the purchase of servers. The Product Sales Agreement does not specify the term or duration of the Product Sales Agreement. The key terms of the contracts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Full payment from Sagtec Global is required upon delivery and for title to be transferred, with an invoice being provided upon delivery. Upon shipment of the products, all risk will be transferred to Sagtec Global.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Warranties: Products are sold ‘as-is’ and all warranties are disclaimed, whether express or implied.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The following occurrences shall constitute a default after 7 days written notice from ShenZhen Yibaite Software Co. Ltd to Sagtec Global, and ShenZhen Yibaite Software Co. Ltd is entitled to pursue all remedies in law and/or in equity. The Agreement is not subject to cancellation unless by mutual written agreement by the parties.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obligations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bankruptcy/insolvency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amounts due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Should Sagtec Global use the product for any other reason than as specified under the Product Sales Agreement, the Product Sales Agreement will be null and void, and Sagtec Global’s right to use the product will cease immediately without any action from ShenZhen Yibaite Software Co. Ltd.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Product Sales Agreement with ShenZhen Yibaite Software Co. Ltd dated March 1,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Sagtec Group entered into a Product Sales Agreement with ShenZhen Yibaite Software Co. Ltd for the purchase of servers and food ordering kiosk machines. The Product Sales Agreement does not specify the term or duration of the Product Sales Agreement. The key terms of the contracts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Full payment from Sagtec Group is required upon delivery and for title to be transferred, with an invoice being provided upon delivery. Upon shipment of the products, all risk will be transferred to Sagtec Group.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Warranties: Products are sold ‘as-is’ and all warranties are disclaimed, whether express or implied.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The following occurrences shall constitute a default after 7 days written notice from ShenZhen Yibaite Software Co. Ltd to Sagtec Group, and ShenZhen Yibaite Software Co. Ltd is entitled to pursue all remedies in law and/or in equity. The Agreement is not subject to cancellation unless by mutual written agreement by the parties.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obligations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bankruptcy/insolvency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amounts due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Should Sagtec Group use the product for any other reason than as specified under the Product Sales Agreement, the Product Sales Agreement will be null and void, and Sagtec Group’s right to use the product will cease immediately without any action from ShenZhen Yibaite Software Co. Ltd.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  Product Sales Agreement with ShenZhen Yibaite Software Co. Ltd dated April 1, 2022</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 Technologies entered into a Product Sales Agreement with ShenZhen Yibaite Software Co. Ltd for the purchase of servers and power bank charging stations. The Product Sales Agreement does not specify the term or duration of the Product Sales Agreement. The key terms of the contracts are as follows:</w:t>
      </w:r>
    </w:p>
    <w:p>
      <w:pPr>
        <w:spacing w:after="0" w:line="162"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Full payment from CL Technologies is required upon delivery and for title to be transferred, with an invoice being provided upon delivery. Upon shipment of the products, all risk will be transferred to CL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Warranties: Products are sold ‘as-is’ and all warranties are disclaimed, whether express or implied.</w:t>
      </w:r>
    </w:p>
    <w:p>
      <w:pPr>
        <w:spacing w:after="0" w:line="225" w:lineRule="exact"/>
        <w:rPr>
          <w:sz w:val="20"/>
          <w:szCs w:val="20"/>
          <w:color w:val="auto"/>
        </w:rPr>
      </w:pPr>
    </w:p>
    <w:p>
      <w:pPr>
        <w:jc w:val="both"/>
        <w:ind w:left="980" w:hanging="647"/>
        <w:spacing w:after="0" w:line="266" w:lineRule="auto"/>
        <w:rPr>
          <w:sz w:val="20"/>
          <w:szCs w:val="20"/>
          <w:color w:val="auto"/>
        </w:rPr>
      </w:pPr>
      <w:r>
        <w:rPr>
          <w:rFonts w:ascii="Times New Roman" w:cs="Times New Roman" w:eastAsia="Times New Roman" w:hAnsi="Times New Roman"/>
          <w:sz w:val="18"/>
          <w:szCs w:val="18"/>
          <w:color w:val="auto"/>
        </w:rPr>
        <w:t>Default: The following occurrences shall constitute a default after 7 days written notice from ShenZhen Yibaite Software Co. Ltd to CL Technologies, and ShenZhen Yibaite Software Co. Ltd is entitled to pursue all remedies in law and/or in equity. The Agreement is not subject to cancellation unless by mutual written agreement by the parties.</w:t>
      </w:r>
    </w:p>
    <w:p>
      <w:pPr>
        <w:spacing w:after="0" w:line="176"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bankruptcy/insolvency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amounts due</w:t>
      </w:r>
    </w:p>
    <w:p>
      <w:pPr>
        <w:spacing w:after="0" w:line="225" w:lineRule="exact"/>
        <w:rPr>
          <w:sz w:val="20"/>
          <w:szCs w:val="20"/>
          <w:color w:val="auto"/>
        </w:rPr>
      </w:pPr>
    </w:p>
    <w:p>
      <w:pPr>
        <w:jc w:val="both"/>
        <w:ind w:left="660" w:right="2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Should Sagtec use the product for any other reason than as specified under the Product Sales Agreement, the Product Sales Agreement will be null and void, and Sagtec’s right to use the product will cease immediately without any action from ShenZhen Yibaite Software Co. Ltd.</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Sales Agreements with ShenZhen Adkiosk Technology Co. Ltd dated April 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 Technologies entered into a Sales Agreement with ShenZhen Adkiosk Technology Co. Ltd for the purchase of powerbank charging stations and servers.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does not specify the term or duration of the Sales Agreement. The key terms of the contracts are as follows:</w:t>
      </w:r>
    </w:p>
    <w:p>
      <w:pPr>
        <w:spacing w:after="0" w:line="207" w:lineRule="exact"/>
        <w:rPr>
          <w:sz w:val="20"/>
          <w:szCs w:val="20"/>
          <w:color w:val="auto"/>
        </w:rPr>
      </w:pPr>
    </w:p>
    <w:p>
      <w:pPr>
        <w:jc w:val="both"/>
        <w:ind w:left="660" w:hanging="328"/>
        <w:spacing w:after="0" w:line="25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ShenZhen Adkiosk Technology Co. Ltd will deliver the goods to CL Technologies’s office address. Delivery is deemed accepted upon CL Technologies’s acceptance. ShenZhen Adkiosk Technology Co. Ltd will provide an invoice at delivery. CL Technologies must pay in full before delivery but can inspect goods upon delivery. If unacceptable, CL Technologies must reject the goods within 5 business days. Title to the goods remains with ShenZhen Adkiosk Technology Co. Ltd until CL Technologies accepts delivery. Risk of loss remains with ShenZhen Adkiosk Technology Co. Ltd, who must maintain insurance on the goods until CL Technologies accepts delivery.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Warranties: Products are sold ‘as-is’ and all warranties are disclaimed, whether express or implied.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Excuse for Delay or Failure to Perform: ShenZhen Adkiosk Technology Co. Ltd is not liable for delays or failure to perform due to reasons beyond their control (e.g., labor disputes, transportation issues, material shortages, accidents, Acts of God). In such an event, ShenZhen Adkiosk Technology Co. Ltd must notify CL Technologies immediately if unable to deliver as promised. Either party can terminate the agreement in such cases.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and Dispute Resolution: Either party can terminate the agreement at any time with written notice. CL Technologies is responsible for payment of goods delivered and accepted up to the termination date. Neither party is liable for indirect or consequential damages (e.g., lost profits, revenue, or business) resulting from the agreement, unless caused by negligence or breach. In case of a dispute, CL Technologies’s sole remedy is the purchase price of the defective goods plus shipping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(e)  Sales Agreement with ShenZhen Adkiosk Technology Co. Ltd dated July 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Sagtec Group entered into a Sales Agreement with ShenZhen Adkiosk Technology Co. Ltd for the purchase of food ordering kiosk machines and servers.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does not specify the term or duration of the Sales Agreement. The key terms of the contract are as follows:</w:t>
      </w:r>
    </w:p>
    <w:p>
      <w:pPr>
        <w:spacing w:after="0" w:line="207" w:lineRule="exact"/>
        <w:rPr>
          <w:sz w:val="20"/>
          <w:szCs w:val="20"/>
          <w:color w:val="auto"/>
        </w:rPr>
      </w:pPr>
    </w:p>
    <w:p>
      <w:pPr>
        <w:jc w:val="both"/>
        <w:ind w:left="660" w:hanging="328"/>
        <w:spacing w:after="0" w:line="25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ShenZhen Adkiosk Technology Co. Ltd will deliver the goods to Sagtec Group’s office address. Delivery is deemed accepted upon Sagtec Group’s acceptance. ShenZhen Adkiosk Technology Co. Ltd will provide an invoice at delivery. Sagtec Group must pay in full before delivery, but can inspect goods upon delivery. If unacceptable, Sagtec Group must reject the goods within 5 business days. Title to the goods remains with ShenZhen Adkiosk Technology Co. Ltd until Sagtec Group accepts delivery. Risk of loss remains with ShenZhen Adkiosk Technology Co. Ltd, who must maintain insurance on the goods until Sagtec Group accepts delivery.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Warranties: Products are sold ‘as-is’ and all warranties are disclaimed, whether express or implied.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Excuse for Delay or Failure to Perform: ShenZhen Adkiosk Technology Co. Ltd is not liable for delays or failure to perform due to reasons beyond their control (e.g., labor disputes, transportation issues, material shortages, accidents, Acts of God). In such an event, ShenZhen Adkiosk Technology Co. Ltd must notify Sagtec Group immediately if unable to deliver as promised. Either party can terminate the agreement in such cases.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and Dispute Resolution: Either party can terminate the agreement at any time with written notice. Sagtec Group is responsible for payment of goods delivered and accepted up to the termination date. Neither party is liable for indirect or consequential damages (e.g., lost profits, revenue, or business) resulting from the agreement, unless caused by negligence or breach. In case of a dispute, Sagtec Group’s sole remedy is the purchase price of the defective goods plus shipping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and marketing team consists of 8 full-time employees based in Malaysia. Our Executive Director, Chairman and Chief Executive Officer, Mr. Ng Chen Lok, and our Chief Operations Officer, Loong Xin Yee, oversee our sales and marketing department. We believe that we have a dedicated sales and marketing team providing top notch services to customers in Malaysia. The sales team consists of staff who specialize in understanding our customer’s requirements and needs, as well as understanding how our solutions and products address said requirements and needs, with of our staff members possessing more than ten years of experience in the sales industry.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promote our platform and enhance brand awareness through both online and offline branding and business development initiatives. We take part in major exhibitions in Malaysia to showcase our range of technological solutions such as the Malaysia Technology Expo, the Hong Kong World Trade Fair, and TECHSPO Dubai, among others. One of our other key channels for marketing is through word-of-mouth referrals from our existing customers and business contacts. We believe that our high-quality sales staff services result in strong word-of-mouth referrals and positive customer reviews, which increase customer awareness of our brand. As We intend to continue to invest resources in our marketing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Process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flow pertaining to our sales business activities can be described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Self Food Ordering Kiosk Machines and general hardware from suppliers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Ng Chen Lok, our Executive Director, Chairman and Chief Executive Officer’s wide network of contacts has allowed us to build a reputation and rapport with a network of trusted suppliers from around the region. Our suppliers constantly update us with information on product availability in the market. Our suppliers will typically provide us with digital photographs of the available equipment for sale. Subject to expected demand for the equipment, our sales team further negotiates sales terms with our suppliers before committing to purchases.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Inquiries for Software and System purchases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commitment to deliver quality technological software solutions which are customizable based on our customer’s needs, we have firmly established ourselves as a preferred supplier of technological software solutions to our customers. Our new customers are generally derived from referrals from our existing customers and through online inquiries/. Customers also sometimes approach us with inquiries whenever they need to upgrade their technological software solutions for their projects. Subject to acceptable sales terms, our customers enter into sales agreements confirming their purchase of technological software solutions with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strong and stable relationships with our suppliers and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inception of our business in 2018, we have developed stable relationships with our key suppliers and customers in each region we serve. We have strived to maintain stable business relationships with our major customers. For the years ended December 31, 2023, 2024 and 2025, our top five customers accounted for 63.63%, 71.63% and 71.12% of total revenue respectively and three of our top five customers have done business with us for more than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experienced management team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experienced management team, led by Mr. Ng Chen Lok, our Executive Director, Chairman and Chief Executive Officer, who has been instrumental in spearheading the growth of our Group. Mr. Ng Chen Lok has over 10 years of experience in the software development industry in Malaysia and is primarily responsible for the planning and execution of our Group’s business strategies and managing our Group’s customer relationships. Our Group is also supported by an experienced management team with over 10 years of experience in the software development industry. For more information, please see the section titled “Management - Executive Directors and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Speed +, provides comprehensive and customizable solutions for our customers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software company, we eschew the traditional cons associated with software sales, such as expensive software purchases, high upfront costs for hardware, a lack of updates for purchased software, and limited flexibility to cater to business needs. Instead, our product, Speed+, offers a comprehensive all-in-one solution for our customers, through our subscription-based model, which is both affordable and simple to install and operate. Benefits include cloud-based software with regular updates provided to our customers, bundling hardware devices pre-installed with our software into our subscription package, as well as customizable features which allow our customers to choose and pay for the features which they require, reducing costs. Further, we offer a flexible and cost-effective payment option via our subscription-based model, allowing our customers to pay either monthly or yearly, limiting upfront costs incurred by our customers and reducing the barrier to entry to utilize our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also offer related services, making our company a one-stop solution for their information technology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Recognizing our customers’ requirements, we also provide auxiliary services such as customizable software development solutions ranging from web to mobile applications, data analytics services which are designed to process and analyze data effectively, catering to various needs, with a specialty in topographic data feature extraction services. We also offer social media management and server management services, which focus on enhancing our customers’ brand visibility and the seamless operation of our customers’ IT infrastructure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Lot 6-2, Level 9, Equatorial Plaza, Jalan Sultan Ismail, 50250 Kuala Lumpur, Malaysia, consisting of approximately 3,216 square feet of office space. We believe that we will be able to obtain adequate facilities on reasonable terms principally through leasing, to accommodate our future expansion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 description of the Company’s leased real properties is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Usage</w:t>
            </w: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Lease Period</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Rent (per month)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area</w:t>
            </w:r>
          </w:p>
        </w:tc>
      </w:tr>
      <w:tr>
        <w:trPr>
          <w:trHeight w:val="198"/>
        </w:trPr>
        <w:tc>
          <w:tcPr>
            <w:tcW w:w="4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 43-1 &amp; 43-2,</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Office Use</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June 1, 2025, to May 31,</w:t>
            </w:r>
          </w:p>
        </w:tc>
        <w:tc>
          <w:tcPr>
            <w:tcW w:w="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RM2,600/month</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300 square meters</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Jalan Besar Kepong</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4"/>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52100, Kuala Lumpur</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198"/>
        </w:trPr>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Lot 6-2, Level 9, Equatorial Plaza,</w:t>
            </w:r>
          </w:p>
        </w:tc>
        <w:tc>
          <w:tcPr>
            <w:tcW w:w="12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Office Use</w:t>
            </w:r>
          </w:p>
        </w:tc>
        <w:tc>
          <w:tcPr>
            <w:tcW w:w="206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August 1, 2025, to July 31,</w:t>
            </w:r>
          </w:p>
        </w:tc>
        <w:tc>
          <w:tcPr>
            <w:tcW w:w="1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RM24,120/month</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3,216 square feet</w:t>
            </w: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Jalan Sultan Ismail, 50250 Kuala Lumpur, Malaysia</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the Company does not own any real property and intends to renew its current leases prior to expiration, and in the long term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Group’s intellectual property rights are important to its business. As of the date of this annual report, the Group has registered the following domain names: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Domain Name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Registered Owner</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Registration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Expiry Date</w:t>
            </w:r>
          </w:p>
        </w:tc>
      </w:tr>
      <w:tr>
        <w:trPr>
          <w:trHeight w:val="237"/>
        </w:trPr>
        <w:tc>
          <w:tcPr>
            <w:tcW w:w="4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www.sagtec-global.com</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Sagtec Group Sdn Bhd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26, 2023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27, 2026</w:t>
            </w:r>
          </w:p>
        </w:tc>
      </w:tr>
      <w:tr>
        <w:trPr>
          <w:trHeight w:val="23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www.cltech-intl.com</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Sagtec Group Sdn Bhd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7,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2027</w:t>
            </w:r>
          </w:p>
        </w:tc>
      </w:tr>
    </w:tbl>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not involved in any proceedings with regard to, and we have not received notice of any claims of infringement of, any intellectual property rights that may be threatened or pending, in which we may be involved either as a claimant or respondent.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sets forth a summary of the material laws and regulations that affect our Group’s business and operations in Malaysia. Information contained in this section should not be construed as a comprehensive summary nor detailed analysis of laws and regulations applicable to the business and operations of our Group. This overview is provided as general information only and not intended to be a substitute for professional advice. You should consult your own advisers regarding the implication of the laws and regulations of Malaysia on our business and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And Regulations Relating to Our Business in Malaysia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commencement of our business operations in Malaysia, we are required to apply for business premises licenses for each operating premises from the relevant local authority under the Local Government Act 1976, which confers power to the local authority to create by-laws and which provides that no person shall use any premises within the jurisdiction of the respective municipal council without a license issued by the respective municipal council, and that any person who fails to exhibit his license at all times in some prominent place on the licensed premises or fails to produce such license when required shall be liable to a fine not exceeding RM500 and/or to imprisonment for a term not exceeding six months. All our Malaysian subsidiaries have obtained the business premises license from the local authority and are in compliance with the Local Government Act 1976.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laws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Act 1955 (the “EA 1955”) is the principal law that governs and regulates all labor relations which covers the categories of employees as stated in the First Schedule of the EA 1955. Following the implementation of the Employment (Amendment) Act 2022 (the “EA 2022”) and the Employment (Amendment of First Schedule) Order 2022, the applicability of EA 1955 has been widened to include any person who has entered into a contract of service with an employer irrespective of their monthly wages, is engaged in manual labor, serves as a supervisor of such manual laborer, serves as a domestic employee, and is engaged in any capacity in any vessel registered in Malaysia subject to certain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As long as the employee falls under the categories of “employee” under the Employment (Amendment of First Schedule) Order 2022, pursuant to section 7 of the EA 1955, any term and condition of the contract of service which is less favorable than the provisions under the EA 1955 or any other regulations made thereunder shall be ‘void’. Section 7 of the EA 1955 further states that such terms which are less favorable shall be substituted by those prescribed under the EA 1955.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Regardless of whether the employee falls under the purview of the EA 1955, the employer is under legal obligations to make the following statutory contributions: (a) Employees Provident Fund (the “EPF”), (b) the Social Security Organization (the “SOCSO”) contribution, (c) Employee Insurance System Scheme, (d) Schedular Tax Deduction or “Potongan Cukai Berjadual”, (e) Trade Union Subscription Fees or “Perbadanan Tabung Pendidikan Tinggi Nasional” (PTPTN) loan repayment (subjected to a request in writing by the employee must first be obtained). Section 99A of the EA 1955 provides that any person who commits any offence under or contravenes any provision of EA 1955 or any regulations made thereunder, in respect of which no penalty is provided, shall be liable, on conviction, to a fine not exceeding RM50,000, as revised under the EA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relevant legal framework and procedures relating to employees and/or former employees who have been unfairly dismissed and/or constructively dismissed by employers is set out in the Industrial Relations Act 1967 (the “IRA 1967”). The IRA 1967 provides an avenue for employees to seek redress by bringing matters to the Industrial Court of Malaysia, which has jurisdiction over matters relating to industrial relation matters. In general, former employees who claim to have been unfairly and/or unlawfully dismissed by an employer may seek reinstatement to their position or compensation in lieu of reinstatement and back wages for a maximum of up to 24 months of their last-drawn salary.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Employees’ Social Security Act 1969 (the “ESSA 1969”) provides benefits under two social insurance schemes, namely, the Employment Injury Insurance Scheme and the Invalidity Pension Scheme. The former provides for payment of certain benefits to an employee for any injury or disease that arises out of employment or during the course of employment. Under the ESSA 1969, the employees have the right to claim for certain benefits such as: (a) medical benefit; (b) disablement benefit; (c) constant attendance allowance; (d) dependents’ benefit; (e) funeral benefit; (f) survivor’s pension; and (g) invalidity pension.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employer, (a) fails to pay any contribution or any part thereof which is payable by him under the ESSA 1969 or fails to pay within the time prescribed by regulations any interest payable under section 14A of the ESSA 1969; (b) deducts or attempts to deduct from the wages of an employee the whole or any part of the employer’s contribution; (c) in contravention of section 52 of the ESSA 1969 reduces the wages or any privileges or benefits admissible to an employee; (d) in contravention of section 53 of the ESSA 1969 or any regulation dismisses, discharges, reduces or otherwise punishes an employee; (e) fails or refuses to submit any return or accident report required by the regulations, or makes a false return or report; (f) obstructs any Inspector appointed under section 12 of the ESSA 1969 and includes the Director General and every Deputy Director General or any other official of the SOCSO in the discharge of his duties; or (g) is guilty of any contravention of or non-compliance with any of the requirements of the ESSA 1969 or the rules or the regulations in respect of which no special penalty is provided, he shall be punishable with imprisonment a term which may extend to two years, or with fine not exceeding RM10,000 or with both.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Personal Data Protection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Personal Data Protection Act 2010 regulates the processing of personal data in the course of commercial transactions in Malaysia and is enforced by the Personal Data Protection Commissioner. Broadly, the Personal Data Protection Act 2010 sets out seven key data protection principles which must be adhered to by data users (i.e. a person who either alone or jointly or in common with other persons processes any personal data or has control over or authorizes the processing of any personal data, but does not include a processor) in Malaysia which include (i) the requirement to obtain consent prior to processing an individual’s personal data, the requirement to provide written notice to individuals in both English and the Malay language stating, among other things, the purposes for which the personal data will be processed, the classes of third parties to whom personal data will be disclosed, and the individual’s right; and (ii) obligation to ensure that the personal data collected will be processed in a safe and secure manner.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Anti-Money Laundering and Counter-Terrorism Financing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Anti-Money Laundering, Anti-Terrorism Financing and Proceeds of Unlawful Activities Act 2001 (the “AMLA 2001”) prohibits money laundering and terrorism financing activities. Any person who (a) engages in a transaction that involves proceeds of unlawful activity; (b) uses proceeds of unlawful activity; (c) removes from or brings into Malaysia proceeds of unlawful activity; or (d) conceals, disguises, or impedes the establishment of the true nature, origin, location, movement, disposition, title of, rights with respect to, or ownership of, proceeds of unlawful activity, commits a money laundering offence under the AMLA 2001.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reporting institution under the First Schedule of the AMLA 2001 is obliged to observe the anti-money laundering and counter financing terrorism requirements and standards, which include reporting and record-keeping duties, such as submitting suspicious transaction reports, implementing risk-based application, and conducting customer due diligence. None of our Malaysian subsidiaries is deemed to be a reporting institution. Nevertheless, we are required to comply with the provisions under the AMLA 2001.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Protection Act 1999 and the Consumer Protection (Electronic Trade Transactions) Regulations 2012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statute on consumer protection in Malaysia is the Consumer Protection Act 1999 (the “CPA”). CPA applies to all consumer transactions in Malaysia, including the sale of goods and services, and is designed to ensure that consumers are treated fairly and provided with adequate information about the products and services they purchase. The protection for e-consumers has been further strengthened recently by the enactment of the Consumer Protection (Electronic Trade Transactions) Regulations 2012.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CPA sets out a number of key provisions that businesses must comply with in order to ensure that consumers are protected. Some of the key provisions include:</w:t>
      </w:r>
    </w:p>
    <w:p>
      <w:pPr>
        <w:spacing w:after="0" w:line="162" w:lineRule="exact"/>
        <w:rPr>
          <w:sz w:val="20"/>
          <w:szCs w:val="20"/>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information: Businesses must provide consumers with clear and accurate information about their products and services, including pricing, quality, and safety. This information must be provided in a way that is easily accessible to consumers.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rights: The CPA provides for a range of consumer rights, including the right to receive goods and services of satisfactory quality, the right to information about the products and services they purchase, and the right to seek redress if they are dissatisfied with a purchase.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Unfair practices: The CPA prohibits businesses from engaging in unfair practices, such as making false or misleading claims about their products or services or engaging in misleading advertising.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The CPA requires businesses to ensure that their products are of acceptable quality (as stated under Section 32 of the CPA). The goods must be fit for their purpose, acceptable in appearance, free from minor defects, and safe and durable. In addition, sellers are prohibited from oppressing the consumer by entering into a sales contract that is deemed to be procedurally or substantively unfair to the consumer. Also, the CPA requires businesses to provide adequate warnings about any risks associated with their use.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for breach of contract: If a business breaches its obligations under the act, consumers have a range of remedies available to them, including the right to receive a refund or replacement, the right to seek damages, and the right to terminate the contract.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Consumer Protection (Electronic Trade Transactions) Regulations 2012 govern the conduct of electronic commerce transactions. The regulations were introduced to provide greater protection to consumers who engage in online transactions, and to establish a regulatory framework for e-commerce in Malaysia. The regulations apply to any person who carries out electronic transactions with consumers, whether they are businesses or individuals. They set out a number of key requirements that must be met in order to ensure that consumers are protected when making purchases online. Under the schedule provided under the Regulations, the information that is required to be disclosed are:</w:t>
      </w:r>
    </w:p>
    <w:p>
      <w:pPr>
        <w:spacing w:after="0" w:line="183" w:lineRule="exact"/>
        <w:rPr>
          <w:sz w:val="20"/>
          <w:szCs w:val="20"/>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information: The regulations require online businesses to provide clear and accurate information about their products and services, including pricing, delivery methods, and refund policies. This information must be provided in a way that is easily accessible to consumers.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transactions: The regulations require businesses to obtain the express consent of consumers before completing any transaction. This means that consumers must be given the opportunity to review and confirm their order before it is processed.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of transactions: Online businesses must take all necessary measures to ensure the security of electronic transactions, including the use of secure servers, encryption technologies, and other security measures.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protection: The regulations require online businesses to protect the privacy of consumers, including their personal information and payment details. Businesses must also obtain the express consent of consumers before using their personal information for any marketing purposes.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resolution: The regulations provide for the resolution of disputes between consumers and online businesses, including the use of mediation and other alternative dispute resolution mechanisms.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Commerce Act 2006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Electronic Commerce Act 2006 (the “ECA”) is under the jurisdiction of the Ministry of Domestic Trade, Cooperatives and Consumerism. The ECA provides for legal recognition of electronic messages in commercial transactions, the use of the electronic messages to fulfill legal requirements and to enable and facilitate commercial transactions through the use of electronic means.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e-commerce is conducted online, it is necessary for the transaction to fulfil all of the elements of a legally binding contract. There must be an offer, acceptance of the offer, consideration, and the intention to create legal relations. Section 7(1) of the ECA facilitates commercial transactions through electronic means by acknowledging the formation of a valid contract formed through an electronic message. These contracts are legally valid, binding and enforceable against the contracting parties as provided under Section 7(2) of the ECA.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key provisions of the ECA include:</w:t>
      </w:r>
    </w:p>
    <w:p>
      <w:pPr>
        <w:spacing w:after="0" w:line="225" w:lineRule="exact"/>
        <w:rPr>
          <w:sz w:val="20"/>
          <w:szCs w:val="20"/>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signatures: The ECA provides for the use of electronic signatures in electronic transactions. An electronic signature is deemed to have the same legal effect as a physical signature, provided that it is reliable and can be verified.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messages: The ECA provides for the use of data messages in electronic transactions. A data message is any information generated, sent, received or stored by electronic, magnetic, optical or similar means.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of service providers: The ECA provides that service providers are not liable for the content of information transmitted or hosted on their networks, provided that they do not have actual knowledge of the content and that they act promptly to remove or disable access to the content when they become aware of it.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The ECA provides for the protection of consumers in electronic transactions. Businesses are required to provide consumers with clear and accurate information about their products and services, and to ensure that their products and services are safe and of satisfactory quality.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Regulations in the BVI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substance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BVI, together with several other non-European Union jurisdictions, have recently introduced legislation aimed at addressing concerns raised by the Council of the European Union (the “EU”) as to offshore structures engaged in certain activities which attract profits without real economic activity. With effect from January 1, 2019, the Economic Substance (Companies and Limited Partnerships) Act, 2018 (as amended, the “Substance Law”) came into force in the BVI introducing certain economic substance requirements for BVI “relevant entities” which are engaged in certain banking, insurance, fund management, financing and leasing, headquarters, shipping, holding company, intellectual property or distribution and service center business (being “relevant activities”) and are in receipt of gross income arising from relevant activities in any relevant financial period. In the case of business companies incorporated before January 1, 2019, the economic substance requirements apply for financial years commencing June 30, 2019.</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economic substance requirements that are imposed include that in-scope companies be directed and managed in the BVI, have core income generating activities in the BVI, and have an adequate level of employees, expenditures, and premises in the BVI. Business companies that carry on holding company business (which means it only holds equity participations in other entities and only earns dividends and capital gains) will be subject to reduced substance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Secure Search System Act, Revised Edition 2020 (as amended) of the BVI requires registered agents in the BVI to create a database of beneficial ownership information relating to in-scope entities for which they act as registered agent. Subject to certain exemptions, in-scope BVI companies are required to: (i) identify its parent, immediate parent, ultimate parent and beneficial owner or registrable legal entity (or, if it is listed on a recognized exchange, provide details of that exchange); (ii) identify whether it carries on one or more relevant activities for economic substance purposes and, if so, which ones; (iii) provide details of any applicable exchange listing where its securities are listed on a recognized exchange; and (iv) where the company carries on a relevant activity and is not a non-resident, provide certain additional information regarding its immediate parent and ultimate parent (if 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BVI company is obliged to notify its registered agent of (i) the required beneficial ownership information within 15 days of identifying it; and (ii) the required economic substance information regarding the carrying on of a relevant activity or listing on a recognized exchange within six months following the end of the financial reporting period in question. A BVI company who becomes aware of a change in the prescribed information relating to a beneficial owner or registrable legal entity must, within 30 days of becoming aware of the change, file information of the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4A. U</w:t>
      </w:r>
      <w:r>
        <w:rPr>
          <w:rFonts w:ascii="Times New Roman" w:cs="Times New Roman" w:eastAsia="Times New Roman" w:hAnsi="Times New Roman"/>
          <w:sz w:val="12"/>
          <w:szCs w:val="12"/>
          <w:b w:val="1"/>
          <w:bCs w:val="1"/>
          <w:color w:val="auto"/>
        </w:rPr>
        <w:t>nresolved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taff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5. O</w:t>
      </w:r>
      <w:r>
        <w:rPr>
          <w:rFonts w:ascii="Times New Roman" w:cs="Times New Roman" w:eastAsia="Times New Roman" w:hAnsi="Times New Roman"/>
          <w:sz w:val="12"/>
          <w:szCs w:val="12"/>
          <w:b w:val="1"/>
          <w:bCs w:val="1"/>
          <w:color w:val="auto"/>
        </w:rPr>
        <w:t>perating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eview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rospects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 - 3.D. Risk Factors” and elsewhere in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successful completion of the Company’s Initial Public Offering (“IPO”) in March 2025, the Company entered a pivotal phase of expansion, characterized by enhanced brand visibility, strengthened market credibility, and increased customer engagement. The IPO has significantly elevated the Company’s profile both domestically and internationally, enabling it to deepen relationships with existing clients, attract new customers from Dubai, Indonesia, and Singapore, and expand its dealer network. This heightened market confidence has translated into broad-based growth across all major business segments.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Incorporated in Malaysia in 2018, the Company specializes in delivering customizable software solutions that integrate seamlessly with operational workflows, particularly within the food and beverage (“F&amp;B”) sector. Its flagship product, Speed+, serves as an intelligent platform for digital ordering and transaction management. Installed on Point of Sale (“POS”) terminals sourced from reputable third-party suppliers, Speed+ enables efficient order processing and payment handling through a unified system. The Company also develops bespoke software solutions for table ordering, QR ordering, and self-service kiosk systems. For the years ended December 31, 2025, 2024 and 2023, revenue from Speed+ smart ordering and QR subscription services contributed 30.18%, 23.14% and 12.31% of total revenue, respectively, while software development services contributed 11.09%, 10.92% and 9.79%.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Company’s core clientele remains within Malaysia’s F&amp;B industry, the adaptability of its solutions allows it to serve a broader range of sectors, including geotechnology, beauty, and property consulting. The integration of AI-driven F&amp;B data analytics further enhances clients’ business intelligence and decision-making capabilities. This flexibility and industry-specific customization have positioned the Company as a trusted technology partner beyond the F&amp;B sector.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Complementing its software offerings, the Company also markets self-service food ordering kiosks designed to enhance customer experience and operational efficiency. These kiosks enable users to browse menus, customize orders, and complete payments seamlessly, while reducing labor dependency and improving service speed. For the years ended December 31, 2025, 2024 and 2023, kiosk sales accounted for 21.27%, 19.23% and 25.29% of total revenue, respectively, reflecting increasing adoption of automation within the F&amp;B industry. In addition, the Company provides robotic arm solutions to further enhance operational efficiency and customer experience.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F&amp;B sector, the Company continues to support a diverse client base through its software consultation and development services, which remain central to its innovation strategy. Its in-house programming team, with a combined 14 years of technical expertise, develops scalable and comprehensive digital solutions. For more complex projects, the Company collaborates with specialized outsourcing partners to ensure optimal delivery. This hybrid approach enables the Company to effectively meet evolving client requirements.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Recognizing the growing importance of digital presence, the Company’s social media management services have emerged as a key growth driver. The Company manages the online presence of Key Opinion Leaders (“KOLs”) and influencers, leveraging data analytics and performance-driven content strategies to optimize engagement. To enhance campaign effectiveness, an AI-driven analytics module has been implemented to enable more precise audience profiling, trend forecasting, and database optimization. This allows for deeper insights into user behavior and more targeted content delivery. For the years ended December 31, 2025, 2024 and 2023, this segment contributed 8.19%, 9.26% and 9.50% of total revenue,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through its majority-owned subsidiary, CL Technologies, the Company deploys and operates power bank charging stations across more than 300 locations in Malaysia. This segment addresses the growing demand for portable charging solutions in high-traffic public areas such as shopping malls and parks. Revenue contribution from this segment was 13.46%, 21.82% and 23.44% for the years ended December 31, 2025,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provides data management solutions that enable clients to organize, process, and analyze raw data into actionable business insights. These services enhance data accessibility and analytical capabilities, forming an integral part of the Company’s ecosystem. For the years ended December 31, 2025, 2024 and 2023, data management services contributed 14.50%, 15.63% and 15.62% of total revenue,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revenue was RM77,510,474 or $19,098,306 and our net profit was RM7,294,213 or $1,797,268. For the year ended December 31, 2024, our revenue was RM51,999,379 or $12,812,462, and our net profit was RM7,165,510 or $1,765,557. This is a growth of 49% in revenue and 2% in net profit respectively. The cost of sales increased from RM39,841,428 or $9,816,786 in year ended December 31, 2024 to RM59,885,461 or $14,755,566 in the year ended December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our revenue was RM29,280,649 or $7,214,648 and our net profit was RM4,656,301 or $1,147,296. For the years ended December 31, 2024, we recorded total revenue of RM51,999,379 or $12,812,462 and a net profit of RM7,165,510 or $1,765,557. This is a growth of 78% in revenue and 54% in net profit respectively. The cost of sales increased from RM21,112,777 or $5,202,113 in year ended December 31, 2023 to RM39,841,428 or $9,816,786 in the year ended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performance reflects its strengthened post-IPO market position and consistent execution strategy. These results highlight the Company’s successful transition from a high-growth local enterprise to an emerging regional technology provider, supported by a diversified portfolio and a strong foundation for sustainable long-term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Results for Years Ended December 31, 2024 and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174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Revenue from services</w:t>
            </w:r>
          </w:p>
        </w:tc>
        <w:tc>
          <w:tcPr>
            <w:tcW w:w="2880" w:type="dxa"/>
            <w:vAlign w:val="bottom"/>
            <w:gridSpan w:val="2"/>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gridSpan w:val="4"/>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over time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12,030,103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23,393,531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5,764,082</w:t>
            </w: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Software consultation and development services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5,678,947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8,593,264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2,117,350</w:t>
            </w:r>
          </w:p>
        </w:tc>
        <w:tc>
          <w:tcPr>
            <w:tcW w:w="0" w:type="dxa"/>
            <w:vAlign w:val="bottom"/>
          </w:tcPr>
          <w:p>
            <w:pPr>
              <w:spacing w:after="0"/>
              <w:rPr>
                <w:sz w:val="1"/>
                <w:szCs w:val="1"/>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media management services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4,817,229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6,344,672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1,563,305</w:t>
            </w:r>
          </w:p>
        </w:tc>
        <w:tc>
          <w:tcPr>
            <w:tcW w:w="0" w:type="dxa"/>
            <w:vAlign w:val="bottom"/>
          </w:tcPr>
          <w:p>
            <w:pPr>
              <w:spacing w:after="0"/>
              <w:rPr>
                <w:sz w:val="1"/>
                <w:szCs w:val="1"/>
                <w:color w:val="auto"/>
              </w:rPr>
            </w:pPr>
          </w:p>
        </w:tc>
      </w:tr>
      <w:tr>
        <w:trPr>
          <w:trHeight w:val="229"/>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Data management &amp; analysis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8,130,110</w:t>
            </w: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11,237,232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2,768,814</w:t>
            </w:r>
          </w:p>
        </w:tc>
        <w:tc>
          <w:tcPr>
            <w:tcW w:w="0" w:type="dxa"/>
            <w:vAlign w:val="bottom"/>
          </w:tcPr>
          <w:p>
            <w:pPr>
              <w:spacing w:after="0"/>
              <w:rPr>
                <w:sz w:val="1"/>
                <w:szCs w:val="1"/>
                <w:color w:val="auto"/>
              </w:rPr>
            </w:pPr>
          </w:p>
        </w:tc>
      </w:tr>
      <w:tr>
        <w:trPr>
          <w:trHeight w:val="27"/>
        </w:trPr>
        <w:tc>
          <w:tcPr>
            <w:tcW w:w="1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30,656,389</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49,568,699</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12,213,551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tangible products</w:t>
            </w:r>
          </w:p>
        </w:tc>
        <w:tc>
          <w:tcPr>
            <w:tcW w:w="2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4"/>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ordering kiosk with screen</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9,999,245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16,483,810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4,061,553</w:t>
            </w:r>
          </w:p>
        </w:tc>
        <w:tc>
          <w:tcPr>
            <w:tcW w:w="0" w:type="dxa"/>
            <w:vAlign w:val="bottom"/>
          </w:tcPr>
          <w:p>
            <w:pPr>
              <w:spacing w:after="0"/>
              <w:rPr>
                <w:sz w:val="1"/>
                <w:szCs w:val="1"/>
                <w:color w:val="auto"/>
              </w:rPr>
            </w:pPr>
          </w:p>
        </w:tc>
      </w:tr>
      <w:tr>
        <w:trPr>
          <w:trHeight w:val="230"/>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Power bank charging station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11,343,745</w:t>
            </w: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10,431,965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2,570,399</w:t>
            </w:r>
          </w:p>
        </w:tc>
        <w:tc>
          <w:tcPr>
            <w:tcW w:w="0" w:type="dxa"/>
            <w:vAlign w:val="bottom"/>
          </w:tcPr>
          <w:p>
            <w:pPr>
              <w:spacing w:after="0"/>
              <w:rPr>
                <w:sz w:val="1"/>
                <w:szCs w:val="1"/>
                <w:color w:val="auto"/>
              </w:rPr>
            </w:pPr>
          </w:p>
        </w:tc>
      </w:tr>
      <w:tr>
        <w:trPr>
          <w:trHeight w:val="27"/>
        </w:trPr>
        <w:tc>
          <w:tcPr>
            <w:tcW w:w="1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21,342,990</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26,915,775</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6,631,952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rental</w:t>
            </w:r>
          </w:p>
        </w:tc>
        <w:tc>
          <w:tcPr>
            <w:tcW w:w="30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4"/>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Coffee Machine Kiosk Rental</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1,026,000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252,803</w:t>
            </w:r>
          </w:p>
        </w:tc>
        <w:tc>
          <w:tcPr>
            <w:tcW w:w="0" w:type="dxa"/>
            <w:vAlign w:val="bottom"/>
          </w:tcPr>
          <w:p>
            <w:pPr>
              <w:spacing w:after="0"/>
              <w:rPr>
                <w:sz w:val="1"/>
                <w:szCs w:val="1"/>
                <w:color w:val="auto"/>
              </w:rPr>
            </w:pPr>
          </w:p>
        </w:tc>
      </w:tr>
      <w:tr>
        <w:trPr>
          <w:trHeight w:val="216"/>
        </w:trPr>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51,999,379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77,510,474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19,098,306</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revenue increased by RM25,511,095 or $6,285,844 approximately 49% from RM51,999,379 or $12,812,462 for the years ended December 31, 2024 to RM77,510,474 or $19,098,306 for the years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services increased by RM18,912,310 or $4,659,926 approximately 62% from RM30,656,389 or $7,553,625 for the years ended December 31, 2024 to RM49,568,699 or $12,213,551 for the years ended December 31, 2025. This increase is attributed to the following:</w:t>
      </w:r>
    </w:p>
    <w:p>
      <w:pPr>
        <w:spacing w:after="0" w:line="162" w:lineRule="exact"/>
        <w:rPr>
          <w:sz w:val="20"/>
          <w:szCs w:val="20"/>
          <w:color w:val="auto"/>
        </w:rPr>
      </w:pPr>
    </w:p>
    <w:p>
      <w:pPr>
        <w:jc w:val="both"/>
        <w:ind w:left="660" w:hanging="328"/>
        <w:spacing w:after="0" w:line="25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Revenue from subscription services increased by RM11,363,428 or $2,799,907 approximately 94% from RM12,030,103 or $2,964,175 for the years ended December 31, 2024 to RM23,393,531 or $5,764,082 for the years ended December 31, 2025. This growth was primarily driven by strong renewal momentum, new customer acquisitions following the IPO, and enhanced customer experience initiatives. The integration of AI-driven features within the subscription platform has further strengthened renewal rates through personalized user experiences, predictive analytics, and automated support tools, resulting in improved customer engagement and satisfaction. Additionally, bundled service offerings and strengthened client engagement programs have reinforced recurring revenue stability.</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Consultation and Development Services: Revenue rose by RM2,914,317 or $718,078 approximately 51% from RM5,678,947 or $1,399,272 for the years ended December 31, 2024 to RM8,593,264 or $2,117,350 for the years ended December 31, 2025. The increase reflects heightened demand for customized digital transformation projects, particularly from startups and mid-sized enterprises. Improved market visibility following the IPO, combined with the Group’s technical expertise and flexible engagement models, has positioned the Group as a preferred regional technology partner.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Management Services: Revenue increased by RM1,527,443 or $376,357 approximately 32% from RM4,817,229 or $1,186,948 for the years ended December 31, 2024 to RM6,344,672 or $1,563,305 for the years ended December 31, 2025. This growth was driven by continued emphasis among businesses on digital engagement and real-time customer interaction. The Group’s analytics-driven content solutions, coupled with AI-assisted campaign tools and automation capabilities, have attracted both local and international clients seeking measurable marketing outcomes.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&amp; Analysis Services: Revenue increased by RM3,107,122 or $765,584 approximately 38% from RM8,130,110 or $2,003,230 for the years ended December 31, 2024 to RM11,237,232 or $2,768,814 for the years ended December 31, 2025. The growth reflects increasing adoption of data-driven decision-making among clients. The Group’s solutions consolidate data from POS systems, social media platforms, food ordering kiosks, and power bank charging stations to generate actionable insights on customer behavior and transaction trends. The implementation of AI-driven analytics has enhanced data accuracy and predictive capabilities, enabling faster and more informed decision-making. These features have also contributed to improved customer retention. Supported by upgraded infrastructure post-IPO, the segment continues to demonstrate enhanced scalability, integration capability, and service reliability.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Tangible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tangible products increased by RM5,572,785 or $1,373,115 approximately 26% from RM21,342,990 or $5,258,837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to RM26,915,775 or $6,631,952 for the years ended December 31, 2025. Key contributors include:</w:t>
      </w:r>
    </w:p>
    <w:p>
      <w:pPr>
        <w:spacing w:after="0" w:line="207" w:lineRule="exact"/>
        <w:rPr>
          <w:sz w:val="20"/>
          <w:szCs w:val="20"/>
          <w:color w:val="auto"/>
        </w:rPr>
      </w:pPr>
    </w:p>
    <w:p>
      <w:pPr>
        <w:jc w:val="both"/>
        <w:ind w:left="660" w:hanging="328"/>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Ordering Kiosk with Screen: Revenue surged by RM6,484,565 or $1,597,775 approximately 65% from RM9,999,245 or $2,463,778 for the years ended December 31, 2024 to RM16,483,810 or $4,061,553 for the years ended December 31, 2025. This growth was driven by ongoing digitalization trends in the F&amp;B sector, as operators increasingly adopt automation to improve efficiency and manage labor costs. The Group’s kiosks, powered by the Speed+ interface, gained strong market traction due to their user-friendly design, improved order processing efficiency, and reduced reliance on manpower.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Bank Charging Station: Revenue decreased by RM911,780 or $224,660 approximately 8% from RM11,343,745 or $2,795,059 for the years ended December 31, 2024 to RM10,431,965 or $2,570,399 for the years ended December 31, 2025. The decline was primarily attributable to market saturation in certain locations and more cautious consumer spending. Nonetheless, the segment continued to be supported by network expansion into selected high-traffic areas and sustained consumer demand for portable charging solutions. Strategic partnerships and increased brand visibility following the IPO continue to support the long-term prospects of this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Rental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rental contributed RM1,026,000 or $252,803 in 2025, arising from the newly introduced coffee machine kiosk rental business. This initiative aligns with the Group’s diversification strategy and capitalizes on the growing automation trend in beverage retail. Supported by in-house Speed+ capabilities and software customization expertise, this new business vertical demonstrates promising growth potential, albeit with a relatively longer payback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from services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26,568,688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41,114,823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10,130,547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from tangible products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12,943,296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18,122,877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4,465,413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from rental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647,761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159,606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39,841,428</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59,885,461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14,755,566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cost of sales increased by RM20,044,033 or $4,938,780 approximately 50% from RM39,841,428 or $9,816,786 for the years ended December 31, 2024 to RM59,885,461 or $14,755,566 for the years ended December 31, 2025. This increase reflects the scaling up of operations following the IPO, supported by stronger sales momentum and expansion of technical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sales from services increased by RM14,546,135 or $3,584,117 approximately 55% from RM26,568,688 or $6,546,430 for the years ended December 31, 2024 to RM41,114,823 or $10,130,547 for the years ended December 31, 2025. This increase was primarily driven by higher service volumes and continued investment in technical resources. The Group expanded its server capacity, network infrastructure, and maintenance capabilities to support increased data traffic and ensure system reliability. Additional costs were incurred for technical support personnel as well as ongoing source code development and maintenance, which are critical to sustaining service quality amid growing demand.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Tangible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 of sales from tangible products increased by RM5,179,581 or $1,276,231 approximately 40% from RM12,943,296 or $3,189,182 for the years ended December 31, 2024 to RM18,122,877 or $4,465,413 for the years ended December 31, 2025. The increase was mainly attributable to higher sales volumes and increased supplier pricing during the year. As the Group does not perform installation services, the cost structure largely reflects procurement costs of food ordering kiosks and power bank charging stations purchased directly from suppliers. Accordingly, the increase in cost closely tracks the growth in units sold and supplier price adjustments. Despite this, the Group continues to maintain efficient procurement practices and strong supplier relationships to support pricing stability and product quality.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Rental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sales from rental increased by RM318,317 or $78,432 approximately 97% from RM329,444 or $81,174 for the years ended December 31, 2024 to RM647,761 or $159,606 for the years ended December 31, 2025. The increase was primarily due to depreciation of newly deployed assets under the coffee machine kiosk rental model. In addition, cost of sales continued to include depreciation of power bank charging stations previously classified under rental. These costs are largely fixed in nature, comprising asset depreciation, maintenance, and minimal operational manpower. As the rental segment is still in its early stage, improvements in scalability and cost efficiency are expected as utilization rates increase.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from services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4,087,701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8,453,876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from tangible products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8,399,694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8,792,898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2,166,539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(loss)/profit from rental</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(329,444)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378,239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93,197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12,157,951</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17,625,013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4,342,740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RM5,467,062 or $1,347,064 approximately 45% from RM12,157,951 or $2,995,676 for the years ended December 31, 2024 to RM17,625,013 or $4,342,740 for the years ended December 31, 2025. The overall gross margin improved as a result of post-IPO economies of scale, enhanced operational automation, and better supplier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gross profit from services increased by RM4,366,175 or $1,075,809 approximately 107% from RM4,087,701 or $1,007,195 for the years ended December 31, 2024 to RM8,453,876 or $2,083,004 for the years ended December 31, 2025. The improvement reflects strong revenue growth and enhanced operational efficiency. While the Group incurred higher costs from expanded technical teams, increased server capacity, and ongoing development efforts, these were offset by economies of scale. Centralized support systems, automated ticketing and monitoring platforms, and standardized deployment processes improved staff productivity and reduced per-customer servicing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profit from tangible products increased by RM393,204 or $96,884 approximately 5% from RM8,399,694 or $2,069,655 for the years ended December 31, 2024 to RM8,792,898 or $2,166,539 for the years ended December 31, 2025. The increase was driven by higher sales volumes, which enabled better absorption of fixed distribution and commercial overheads. Although supplier costs increased, the Group leveraged its enhanced post-IPO purchasing power to renegotiate supplier terms and secure volume discounts, partially mitigating cost pressures.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profit from rental increase by RM707,683 or $174,371 approximately 215% from loss of RM329,444 or $81,174 for the years ended December 31, 2024 to profit of RM378,239 or $93,197 for the years ended December 31, 2025. This improvement was supported by initial revenue contributions from the coffee machine kiosk rental business. Although still in the early investment phase, improved asset utilization and initial adoption by retail partners have begun to reduce losses and support a transition toward profitability.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9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37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5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(1,600,287)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(7,450,175)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expenses</w:t>
            </w:r>
          </w:p>
        </w:tc>
        <w:tc>
          <w:tcPr>
            <w:tcW w:w="4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(390,533)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(505,494)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(124,552)</w:t>
            </w:r>
          </w:p>
        </w:tc>
        <w:tc>
          <w:tcPr>
            <w:tcW w:w="0" w:type="dxa"/>
            <w:vAlign w:val="bottom"/>
          </w:tcPr>
          <w:p>
            <w:pPr>
              <w:spacing w:after="0"/>
              <w:rPr>
                <w:sz w:val="1"/>
                <w:szCs w:val="1"/>
                <w:color w:val="auto"/>
              </w:rPr>
            </w:pPr>
          </w:p>
        </w:tc>
      </w:tr>
      <w:tr>
        <w:trPr>
          <w:trHeight w:val="24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emoluments</w:t>
            </w:r>
          </w:p>
        </w:tc>
        <w:tc>
          <w:tcPr>
            <w:tcW w:w="4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(678,306)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(1,011,040)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(249,117)</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5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(2,669,126)</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(8,966,709)</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(2,209,365)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9,488,825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8,658,304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2,133,375</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35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45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by RM6,297,583 or $1,551,702 approximately 236% from RM2,669,126 or $657,663 for the years ended December 31, 2024 to RM8,966,709 or $2,209,365 for the years ended December 31, 2025. The increase reflects expanded operational capacity, workforce growth, and strategic marketing initiatives following the IPO. Despite the increase, operating expenses remained proportionate to revenue growth. This rise in operating expenses was attributed to several key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expenses increased by RM5,849,888 or $1,441,391 approximately 366% from RM1,600,287 or $394,305 for the years ended December 31, 2024 to RM7,450,175 or $1,835,696 for the years ended December 31, 2025. This was primarily driven by higher marketing expenditures for brand-building initiatives and international business development. The Group also invested in digital advertising and promotional campaigns to strengthen market presence. Administrative expenses increased in line with the establishment of overseas client liaison offices to support regional expansion. In addition, the increase was partially attributable to higher expected credit loss (ECL) allowances recognized during the year, reflecting changes in the Group’s assessment of recoverability of receivables.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Employee benefit expenses increased by RM114,961 or $28,326 approximately 29% from RM390,533 or $96,226 for the years ended December 31, 2024 to RM505,494 or $124,552 for the years ended December 31, 2025. The increase was mainly due to additional hiring in administrative and corporate support functions, including finance, human resources, and general administration, to support the Group’s expanded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Emoluments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expenses for director emoluments increased by RM332,734 or $81,985 approximately 49% from RM678,306 or $167,132 for the years ended December 31, 2024 to RM1,011,040 or $249,117 for the years ended December 31, 2025. This reflects the implementation of a performance-based remuneration framework aligned with post-IPO growth objectives, as well as the appointment of an Independent Director in line with enhanced corporate governance practices. This approach rewards leadership for strategic execution, financial performance, and strengthened governance oversight.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decreased by RM830,521 or $204,638 approximately 9% from RM9,488,825 or $2,338,013 for the years ended December 31, 2024 to RM8,658,304 or $2,133,375 for the years ended December 31, 2025. The decrease was marginal and reflects the Group’s continued operational stability, supported by disciplined cost management following the IPO.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was driven by a combination of revenue expansion, improved gross margins, and optimized cost structures across both service and product segments. Ongoing digitalization initiatives including process automation, enhanced financial systems, and streamlined administrative workflows have further improved productivity and reduced overhead pressures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factors behind the improvement include:</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revenue growth across all major business 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cost control and operational streamlining initiatives post-IPO;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scalability and efficiency gains from digital and process optimization measures.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9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0" w:type="dxa"/>
            <w:vAlign w:val="bottom"/>
          </w:tcPr>
          <w:p>
            <w:pPr>
              <w:spacing w:after="0"/>
              <w:rPr>
                <w:sz w:val="1"/>
                <w:szCs w:val="1"/>
                <w:color w:val="auto"/>
              </w:rPr>
            </w:pPr>
          </w:p>
        </w:tc>
      </w:tr>
      <w:tr>
        <w:trPr>
          <w:trHeight w:val="245"/>
        </w:trPr>
        <w:tc>
          <w:tcPr>
            <w:tcW w:w="35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311,744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1,248,127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5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(262,176)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(246,123)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(60,644)</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3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1,002,004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w:t>
            </w:r>
          </w:p>
        </w:tc>
        <w:tc>
          <w:tcPr>
            <w:tcW w:w="5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9,538,393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9,660,308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2,380,265</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37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(2,372,883)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(2,366,095)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(582,997)</w:t>
            </w:r>
          </w:p>
        </w:tc>
        <w:tc>
          <w:tcPr>
            <w:tcW w:w="0" w:type="dxa"/>
            <w:vAlign w:val="bottom"/>
          </w:tcPr>
          <w:p>
            <w:pPr>
              <w:spacing w:after="0"/>
              <w:rPr>
                <w:sz w:val="1"/>
                <w:szCs w:val="1"/>
                <w:color w:val="auto"/>
              </w:rPr>
            </w:pPr>
          </w:p>
        </w:tc>
      </w:tr>
      <w:tr>
        <w:trPr>
          <w:trHeight w:val="27"/>
        </w:trPr>
        <w:tc>
          <w:tcPr>
            <w:tcW w:w="3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37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vMerge w:val="continue"/>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7,165,510</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7,294,213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1,797,268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increased by RM936,383 or $230,721 approximately 300% from RM311,744 or $76,813 for the years ended December 31, 2024 to RM1,248,127 or $307,534 for the years ended December 31, 2025. The increase was primarily attributable to favorable foreign exchange movements arising from higher international transactions. Additional contributions were derived from interest income and the reversal of unclaimed warranty provisions, which positively impacted the Group’s results for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costs decreased by RM16,053 or $3,955 approximately 6% from RM262,176 or $64,599 for the years ended December 31, 2024 to RM246,123 or $60,644 for the years ended December 31, 2025. This decrease reflects prudent financial management and stable borrowing levels. The Group’s strengthened liquidity position following the IPO enabled it to optimize its capital structure while effectively managing interest rate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increased by RM952,436 or $234,676 approximately 1921% from RM49,568 or $12,214 for the years ended December 31, 2024 to RM1,002,004 or $246,890 for the years ended December 31, 2025. The increase was mainly driven by foreign exchange gains and the reversal of unclaimed warranty provisions. These largely non-recurring gains contributed positively to the Group’s overall earnings for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 Before Tax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Profit before tax increased by RM121,915 or $30,038 approximately 1% from RM9,538,393 or $2,350,227 for the years ended December 31, 2024 to RM9,660,308 or $2,380,265 for the years ended December 31, 2025. This improvement reflects strong revenue growth, enhanced operational efficiency, and disciplined cost management. The Group benefited from improved margins across both service and product segments, supported by scalable operations and optimized resource utilization.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expenses decreased by RM6,788 or $1,673 approximately 0.29% from RM2,372,883 or $584,670 for the years ended December 31, 2024 to RM2,366,095 or $582,997 for the years ended December 31, 2025. Despite higher profit before tax, tax expenses remained broadly stable due to the consistent effective tax rate and the absence of significant changes in tax structure, incentives, or non-deductible items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profit increased by RM128,703 or $31,711 approximately 2% from RM7,165,510 or $1,765,557 for the years ended December 31, 2024 to RM7,294,213 or $1,797,268 for the years ended December 31, 2025. The increase was driven by sustained growth across all revenue streams, improved gross margins, and well-managed operating costs. This strong performance highlights the Group’s ability to scale effectively in the post-IPO environment while maintaining financial resilience and profitability.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2024</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1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75"/>
        </w:trPr>
        <w:tc>
          <w:tcPr>
            <w:tcW w:w="174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services</w:t>
            </w:r>
          </w:p>
        </w:tc>
        <w:tc>
          <w:tcPr>
            <w:tcW w:w="2880" w:type="dxa"/>
            <w:vAlign w:val="bottom"/>
            <w:gridSpan w:val="3"/>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2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over time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3,605,525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12,030,103</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23.14%</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Software consultation and development services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2,865,215</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9.79%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5,678,947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media management services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2,782,963</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4,817,229</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Data management &amp; analysis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4,574,481</w:t>
            </w:r>
          </w:p>
        </w:tc>
        <w:tc>
          <w:tcPr>
            <w:tcW w:w="20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15.62%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8,130,110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13,828,184</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30,656,389</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tangible products</w:t>
            </w:r>
          </w:p>
        </w:tc>
        <w:tc>
          <w:tcPr>
            <w:tcW w:w="214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ordering kiosk with screen</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7,405,006</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9,999,245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Power bank charging station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6,864,566</w:t>
            </w:r>
          </w:p>
        </w:tc>
        <w:tc>
          <w:tcPr>
            <w:tcW w:w="20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23.44%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11,343,745</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21.82%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14,269,572</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21,342,990</w:t>
            </w:r>
          </w:p>
        </w:tc>
        <w:tc>
          <w:tcPr>
            <w:tcW w:w="2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rental</w:t>
            </w:r>
          </w:p>
        </w:tc>
        <w:tc>
          <w:tcPr>
            <w:tcW w:w="302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of power bank machine</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654</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others</w:t>
            </w:r>
          </w:p>
        </w:tc>
        <w:tc>
          <w:tcPr>
            <w:tcW w:w="300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catering, restaurant and sale of foods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1,182,239</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20" w:type="dxa"/>
            <w:vAlign w:val="bottom"/>
            <w:gridSpan w:val="6"/>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29,280,649</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51,999,379</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12,812,462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RM22,718,730 or $5,597,814 approximately 78% from RM29,280,649 or $7,214,648 for the year ended December 31, 2023 to RM51,999,379 or $12,812,462 for the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services increased by RM16,828,205 or $4,146,409 approximately 122% from RM13,828,184 or $3,407,216 for the year ended December 31, 2023 to RM30,656,389 or $7,553,625 for the year ended December 31, 2024. This increase is attributed to the following: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Revenue from subscription services increased by RM8,424,578 or $2,075,786 approximately 234% from RM3,605,525 or $888,389 for the year ended December 31, 2023 to RM12,030,103 or $2,964,175 for the year ended December 31, 2024. The revenue growth is primarily attributed to the renewal of 2023 subscriptions by existing customers, reflecting strong retention, alongside the acquisition of new subscribers in year 2024, which together have bolstered recurring revenue and expanded the overall subscription base.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Consultation and Development Services: Revenue increased by RM2,813,732 or $693,293 approximately 98% from RM2,865,215 or $705,979 for the year ended December 31, 2023 to RM5,678,947 or $1,399,272 for the year ended December 31, 2024. Sustained growth in this revenue channel indicates a gradual increase in market demand. We are observing a rising trend among individuals and small to medium-sized enterprises seeking outsourced development and IT consultation services.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Management Services: Revenue increased by RM2,034,266 or $501,236 approximately 73% from RM2,782,963 or $685,712 for the year ended December 31, 2023 to RM4,817,229 or $1,186,948 for the year ended December 31, 2024. Increase in revenue from this channel underscores the success of our strategic expansion into Social Media Management services. As social media continues to grow in prominence, demand for these solutions is rising, validating our decision to invest in this area.</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&amp; Analysis Services: Revenue increased by RM3,555,629 or $876,094 approximately 78% from RM4,574,481 or $1,127,136 for the year ended December 31, 2023 to RM8,130,110 or $2,003,230 for the year ended December 31, 2024. Increase in revenue is reflected in our other revenue channels. Data from our Speed+ POS and social media management clients show growing demand for data management and analysis services, indicating a rise in need for these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Tangible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tangible products increased by RM7,073,418 or $1,742,865 approximately 50% from RM14,269,572 or $3,515,972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to RM21,342,990 or $5,258,837 for the year ended December 31, 2024. Key contributors include:</w:t>
      </w:r>
    </w:p>
    <w:p>
      <w:pPr>
        <w:spacing w:after="0" w:line="207" w:lineRule="exact"/>
        <w:rPr>
          <w:sz w:val="20"/>
          <w:szCs w:val="20"/>
          <w:color w:val="auto"/>
        </w:rPr>
      </w:pPr>
    </w:p>
    <w:p>
      <w:pPr>
        <w:jc w:val="both"/>
        <w:ind w:left="660" w:hanging="328"/>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Ordering Kiosk with Screen: Revenue increased by RM2,594,239 or $639,211 approximately 35% from RM7,405,006 or $1,824,567 for the year ended December 31, 2023 to RM9,999,245 or $2,463,778 for the year ended December 31, 2024. The revenue is attributed to changing market behaviors and the significant manpower shortages in the F&amp;B industry. The shortage of staff has led F&amp;B owners to adopt self-ordering machines, which are in growing demand due to their ability to reduce labor costs and enhance the food ordering experience.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Bank Charging Station: Revenue increased by RM4,479,179 or $1,103,654 approximately 65% from RM6,864,566 or $1,691,405 for the year ended December 31, 2023 to RM11,343,745 or $2,795,059 for the year ended December 31, 2024. The revenue reflects the effectiveness of our marketing efforts and resource allocation. Our strategy of expanding through dealers and resellers has successfully contributed to the growth in this revenue channel.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Rental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rental of power bank machines decreased significantly from RM654 in 2023 to zero in 2024, representing a decline of 100%. Decline in this revenue attributed to considerations around resource investment and time. The rental service model required a long return on investment and substantial manpower. Consequently, we decided to shift from offering rental services to selling machines and managing maintenance through other operators. This transition allows us to reduce manpower costs and eliminate unnecessary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Other 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from other sources, specifically food catering, restaurant and sale of foods, which contributed RM1,182,239 or $291,299 in 2023.</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from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from tangible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from rental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from others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sales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r>
      <w:tr>
        <w:trPr>
          <w:trHeight w:val="194"/>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11,074,957</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26,568,688</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6,546,430</w:t>
            </w:r>
          </w:p>
        </w:tc>
        <w:tc>
          <w:tcPr>
            <w:tcW w:w="20" w:type="dxa"/>
            <w:vAlign w:val="bottom"/>
          </w:tcPr>
          <w:p>
            <w:pPr>
              <w:spacing w:after="0"/>
              <w:rPr>
                <w:sz w:val="17"/>
                <w:szCs w:val="17"/>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9,472,173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12,943,296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3,189,182</w:t>
            </w:r>
          </w:p>
        </w:tc>
        <w:tc>
          <w:tcPr>
            <w:tcW w:w="20" w:type="dxa"/>
            <w:vAlign w:val="bottom"/>
          </w:tcPr>
          <w:p>
            <w:pPr>
              <w:spacing w:after="0"/>
              <w:rPr>
                <w:sz w:val="18"/>
                <w:szCs w:val="18"/>
                <w:color w:val="auto"/>
              </w:rPr>
            </w:pPr>
          </w:p>
        </w:tc>
      </w:tr>
      <w:tr>
        <w:trPr>
          <w:trHeight w:val="22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326,348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329,444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81,174</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239,299</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21,112,777</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39,841,428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9,816,786</w:t>
            </w:r>
          </w:p>
        </w:tc>
        <w:tc>
          <w:tcPr>
            <w:tcW w:w="2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-779145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cost of sales increased by RM18,728,651 or $4,614,673 approximately 89% from RM21,112,777 or $5,202,113 for the year ended December 31, 2023 to RM39,841,428 or $9,816,786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sales from services increased by RM15,493,731 or $3,817,600 approximately 140% from RM11,074,957 or $2,728,830 for the year ended December 31, 2023 to RM26,568,688 or $6,546,430 for the year ended December 31, 2024. With consistent growth in service revenue and an expanding subscriber base, our operational costs have risen accordingly, driven by the need for increased server capacity and proportional maintenance expenses to ensure optimal performance and support for the growing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Tangible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sales from tangible products increased by RM3,471,123 or $855,272 approximately 37% from RM9,472,173 or $2,333,910 for the year ended December 31, 2023 to RM12,943,296 or $3,189,182 for the year ended December 31, 2024. With consistent growth in tangible products revenue, our operational costs have risen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Rental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sales from rental increased by RM3,096 or $763 approximately 1% from RM326,348 or $80,411 for the year ended December 31, 2023 to RM329,444 or $81,174 for the year ended December 31, 2024. This reflects that our current operational space, including rented server farm space, adequately supports our operations and accommodates increasing customer volumes.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Other 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sales from other sources was RM239,299 or $58,962 for the year ended December 31, 2023.</w:t>
      </w:r>
    </w:p>
    <w:p>
      <w:pPr>
        <w:sectPr>
          <w:pgSz w:w="11900" w:h="16838" w:orient="portrait"/>
          <w:cols w:equalWidth="0" w:num="1">
            <w:col w:w="11240"/>
          </w:cols>
          <w:pgMar w:left="320" w:top="8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from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from tangible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loss from rental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from others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gross profit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4"/>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Convenience</w:t>
            </w:r>
          </w:p>
        </w:tc>
        <w:tc>
          <w:tcPr>
            <w:tcW w:w="6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Translation</w:t>
            </w:r>
          </w:p>
        </w:tc>
      </w:tr>
      <w:tr>
        <w:trPr>
          <w:trHeight w:val="245"/>
        </w:trPr>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2,753,227</w:t>
            </w:r>
          </w:p>
        </w:tc>
        <w:tc>
          <w:tcPr>
            <w:tcW w:w="240" w:type="dxa"/>
            <w:vAlign w:val="bottom"/>
          </w:tcPr>
          <w:p>
            <w:pPr>
              <w:spacing w:after="0"/>
              <w:rPr>
                <w:sz w:val="17"/>
                <w:szCs w:val="17"/>
                <w:color w:val="auto"/>
              </w:rPr>
            </w:pPr>
          </w:p>
        </w:tc>
        <w:tc>
          <w:tcPr>
            <w:tcW w:w="1100" w:type="dxa"/>
            <w:vAlign w:val="bottom"/>
            <w:tcBorders>
              <w:top w:val="single" w:sz="8" w:color="auto"/>
            </w:tcBorders>
          </w:tcPr>
          <w:p>
            <w:pPr>
              <w:ind w:left="380"/>
              <w:spacing w:after="0" w:line="198" w:lineRule="exact"/>
              <w:rPr>
                <w:sz w:val="20"/>
                <w:szCs w:val="20"/>
                <w:color w:val="auto"/>
              </w:rPr>
            </w:pPr>
            <w:r>
              <w:rPr>
                <w:rFonts w:ascii="Times New Roman" w:cs="Times New Roman" w:eastAsia="Times New Roman" w:hAnsi="Times New Roman"/>
                <w:sz w:val="18"/>
                <w:szCs w:val="18"/>
                <w:color w:val="auto"/>
                <w:w w:val="97"/>
              </w:rPr>
              <w:t>4,087,701</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1,007,195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4,797,399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8,399,694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2,069,655</w:t>
            </w:r>
          </w:p>
        </w:tc>
        <w:tc>
          <w:tcPr>
            <w:tcW w:w="40" w:type="dxa"/>
            <w:vAlign w:val="bottom"/>
          </w:tcPr>
          <w:p>
            <w:pPr>
              <w:spacing w:after="0"/>
              <w:rPr>
                <w:sz w:val="18"/>
                <w:szCs w:val="18"/>
                <w:color w:val="auto"/>
              </w:rPr>
            </w:pPr>
          </w:p>
        </w:tc>
      </w:tr>
      <w:tr>
        <w:trPr>
          <w:trHeight w:val="230"/>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(325,694)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(329,444)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(81,174)</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942,940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8,167,872</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12,157,951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2,995,676</w:t>
            </w:r>
          </w:p>
        </w:tc>
        <w:tc>
          <w:tcPr>
            <w:tcW w:w="4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-779145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RM3,990,079 or $983,141 approximately 49% from RM8,167,872 or $2,012,535 for the year ended December 31, 2023 to RM12,157,951 or $2,995,676 for the year ended December 31, 2024. This growth in gross profit was driven by substantial increases in revenue from both our services and tangible products.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profit from services increased by RM1,334,474 or $328,809 approximately 48% from RM2,753,227 or $678,386 for the year ended December 31, 2023 to RM4,087,701 or $1,007,195 for the year ended December 31, 2024. The increase in gross profit was attributed to the implementation of a more efficient sales platform, which boosted revenue by enhancing sales processes, improving customer reach, and streamlining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profit from tangible products increased by RM3,602,295 or $887,593 approximately 75% from RM4,797,399 or $1,182,062 for the year ended December 31, 2023 to RM 8,399,694 or $2,069,655 for the year ended December 31, 2024. This was driven by the implementation of a more efficient sales platform, which boosted revenue by improving customer reach and streamlining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loss from rental of power bank machines increased by RM3,750 or $924 approximately 1% from RM325,694 or $80,250 for the year ended December 31, 2023 to RM329,444 or $81,174 for the year ended December 31, 2024. This increase was primarily due to a rise in depreciation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Sources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the year ended December 31, 2023 were RM942,940 or $232,337.</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(1,620,544)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(1,600,287)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(570,876)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(390,533)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(96,226)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emoluments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(536,770)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(678,306)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(167,132)</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Disposal gain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662,701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(2,065,489)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6,102,383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9,488,825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2,338,013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by RM603,637 or $148,734 approximately 29% from RM2,065,489 or $508,929 for the year ended December 31, 2023 to RM2,669,126 or $657,663 for the year ended December 31, 2024. This rise in operating expenses was attributed to several key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expenses decreased by RM20,257 or $4,991 approximately 1% from RM1,620,544 or $399,296 for the year ended December 31, 2023 to RM1,600,287 or $394,305 for the year ended December 31, 2024. This category includes costs related to marketing, administration, and other overheads necessary for daily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 benefit expenses decreased by RM180,343 or $44,436 approximately 32% from RM570,876 or $140,662 for the year ended December 31, 2023 to RM390,533 or $96,226 for the year ended December 31, 2024. This substantial reduction was due to a strategic decision to reduce workforce headcount.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Emoluments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expenses for director emoluments increased by RM141,536 or $34,874 approximately 26% from RM536,770 or $132,258 for the year ended December 31, 2023 to RM678,306 or $167,132 for the year ended December 31, 2024. The increment aligns with the company’s commitment to rewarding management leadership for driving growth and enhancing overall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Gain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a disposal gain of RM662,701 or $163,287 due to the sale of Sagfood (Malaysia) Sdn Bhd for the year ended December 31, 2023. This gain is a one-time occurrence and contributed positively to the overall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increased by RM3,386,442 or $834,407 approximately 55% from RM6,102,383 or $1,503,606 for the year ended December 31, 2023 to RM9,488,825 or $2,338,013 for the year ended December 31, 2024. This substantial growth in operating income highlights the company’s improved efficiency and effective cost management despite the rising operating expenses. The major factors contributing to this increase include:</w:t>
      </w:r>
    </w:p>
    <w:p>
      <w:pPr>
        <w:spacing w:after="0" w:line="176"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Significant increases in revenue from both services and tangible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Management: Strategic control over selling, administrative, and employee-related expenses despite the overall increase.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44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24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4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(164,491)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(262,176)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(64,599)</w:t>
            </w:r>
          </w:p>
        </w:tc>
        <w:tc>
          <w:tcPr>
            <w:tcW w:w="0" w:type="dxa"/>
            <w:vAlign w:val="bottom"/>
          </w:tcPr>
          <w:p>
            <w:pPr>
              <w:spacing w:after="0"/>
              <w:rPr>
                <w:sz w:val="1"/>
                <w:szCs w:val="1"/>
                <w:color w:val="auto"/>
              </w:rPr>
            </w:pP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(expenses)/income</w:t>
            </w:r>
          </w:p>
        </w:tc>
        <w:tc>
          <w:tcPr>
            <w:tcW w:w="3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w:t>
            </w:r>
          </w:p>
        </w:tc>
        <w:tc>
          <w:tcPr>
            <w:tcW w:w="4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6,023,090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9,538,393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2,350,227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3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(1,366,789)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(2,372,883)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(584,670)</w:t>
            </w:r>
          </w:p>
        </w:tc>
        <w:tc>
          <w:tcPr>
            <w:tcW w:w="0" w:type="dxa"/>
            <w:vAlign w:val="bottom"/>
          </w:tcPr>
          <w:p>
            <w:pPr>
              <w:spacing w:after="0"/>
              <w:rPr>
                <w:sz w:val="1"/>
                <w:szCs w:val="1"/>
                <w:color w:val="auto"/>
              </w:rPr>
            </w:pPr>
          </w:p>
        </w:tc>
      </w:tr>
      <w:tr>
        <w:trPr>
          <w:trHeight w:val="27"/>
        </w:trPr>
        <w:tc>
          <w:tcPr>
            <w:tcW w:w="4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3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vMerge w:val="continue"/>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4,656,301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7,165,510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1,765,557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RM226,546 or $55,821 approximately 266% from RM85,198 or $20,992 for the year ended December 31, 2023 to RM311,744 or $76,813 for the year ended December 31, 2024. This substantial increase was primarily driven by a high amount of unclaimed warranties from the tangible products revenue 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costs increased by RM97,685 or $24,069 approximately 59% from RM164,491 or $40,530 for the year ended December 31, 2023 to RM262,176 or $64,599 for the year ended December 31, 2024. The substantial increase in finance costs is mainly attributed to higher interest expenses, due to increased borrowings and higher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expenses/income increased by RM128,861 or $31,752 approximately 163% from expenses of RM79,293 or $19,538 for the year ended December 31, 2023 to income of RM49,568 or $12,214 for the year ended December 31, 2024. This increase is primarily attributable to higher other income, resulting from the high amount of unclaimed warranties.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 Before 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 before tax increased by RM3,515,303 or $866,159 approximately 58% from RM6,023,090 or $1,484,068 for the year ended December 31, 2023 to RM9,538,393 or $2,350,227 for the year ended December 31, 2024. This substantial increase was driven by higher revenues, increased other income, and effective management of operating costs, despite the rise in finance and non-operating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expenses increased by RM1,006,094 or $247,898 approximately 74% from RM1,366,789 or $336,772 for the year ended December 31, 2023 to RM2,372,883 or $584,670 for the year ended December 31, 2024. The increase in tax expenses corresponds with the higher profit before tax, maintaining the company’s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profit increased by RM2,509,209 or $618,261 approximately 54% from RM4,656,301 or $1,147,296 for the year ended December 31, 2023 to RM7,165,510 or $1,765,557 for the year ended December 31, 2024. This substantial growth in net profit highlights the company’s improved operational efficiency, effective cost management, and successful strategies in enhancing revenue streams.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 and 2025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5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r>
      <w:tr>
        <w:trPr>
          <w:trHeight w:val="194"/>
        </w:trPr>
        <w:tc>
          <w:tcPr>
            <w:tcW w:w="5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Convenience</w:t>
            </w:r>
          </w:p>
        </w:tc>
        <w:tc>
          <w:tcPr>
            <w:tcW w:w="100" w:type="dxa"/>
            <w:vAlign w:val="bottom"/>
          </w:tcPr>
          <w:p>
            <w:pPr>
              <w:spacing w:after="0"/>
              <w:rPr>
                <w:sz w:val="16"/>
                <w:szCs w:val="16"/>
                <w:color w:val="auto"/>
              </w:rPr>
            </w:pPr>
          </w:p>
        </w:tc>
      </w:tr>
      <w:tr>
        <w:trPr>
          <w:trHeight w:val="216"/>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Translation</w:t>
            </w:r>
          </w:p>
        </w:tc>
      </w:tr>
      <w:tr>
        <w:trPr>
          <w:trHeight w:val="245"/>
        </w:trPr>
        <w:tc>
          <w:tcPr>
            <w:tcW w:w="5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for the year</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7,165,510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7,294,213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1,797,268</w:t>
            </w:r>
          </w:p>
        </w:tc>
      </w:tr>
      <w:tr>
        <w:trPr>
          <w:trHeight w:val="121"/>
        </w:trPr>
        <w:tc>
          <w:tcPr>
            <w:tcW w:w="5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6"/>
        </w:trPr>
        <w:tc>
          <w:tcPr>
            <w:tcW w:w="7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Adjustments to reconcile net profit to net cash used in operating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Provisions</w:t>
            </w:r>
          </w:p>
        </w:tc>
        <w:tc>
          <w:tcPr>
            <w:tcW w:w="19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(52,927)</w:t>
            </w:r>
          </w:p>
        </w:tc>
        <w:tc>
          <w:tcPr>
            <w:tcW w:w="1320" w:type="dxa"/>
            <w:vAlign w:val="bottom"/>
            <w:tcBorders>
              <w:top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(416,057)</w:t>
            </w:r>
          </w:p>
        </w:tc>
        <w:tc>
          <w:tcPr>
            <w:tcW w:w="1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(102,515)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1,687,992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3,575,849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881,076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55,256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214,646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52,888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of lease liability</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10,090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40,750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10,041</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262,176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246,123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60,644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charges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111,620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108,785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26,804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2,372,883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2,366,095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582,997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credit loss (ECL),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1,229,403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302,291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plant &amp; equipment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2,474,094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609,608</w:t>
            </w: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(4,790)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11,612,600</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17,128,651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4,220,439</w:t>
            </w:r>
          </w:p>
        </w:tc>
        <w:tc>
          <w:tcPr>
            <w:tcW w:w="100" w:type="dxa"/>
            <w:vAlign w:val="bottom"/>
            <w:tcBorders>
              <w:top w:val="single" w:sz="8" w:color="CCEEFF"/>
              <w:bottom w:val="single" w:sz="8" w:color="CCEEFF"/>
            </w:tcBorders>
          </w:tcPr>
          <w:p>
            <w:pPr>
              <w:spacing w:after="0"/>
              <w:rPr>
                <w:sz w:val="18"/>
                <w:szCs w:val="18"/>
                <w:color w:val="auto"/>
              </w:rPr>
            </w:pPr>
          </w:p>
        </w:tc>
      </w:tr>
      <w:tr>
        <w:trPr>
          <w:trHeight w:val="122"/>
        </w:trPr>
        <w:tc>
          <w:tcPr>
            <w:tcW w:w="536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(6,418,937)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(2,795,250)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(688,740)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prepayment (cash related)</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3,208,914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2,358,203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581,053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479,896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576,616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142,077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(423,787)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335,070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82,560</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(2,691,244)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5,767,442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17,603,290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(2,700)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(1,043,652)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(257,152)</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5,764,742</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16,559,638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4,080,237</w:t>
            </w:r>
          </w:p>
        </w:tc>
        <w:tc>
          <w:tcPr>
            <w:tcW w:w="100" w:type="dxa"/>
            <w:vAlign w:val="bottom"/>
            <w:tcBorders>
              <w:top w:val="single" w:sz="8" w:color="CCEEFF"/>
              <w:bottom w:val="single" w:sz="8" w:color="CCEEFF"/>
            </w:tcBorders>
          </w:tcPr>
          <w:p>
            <w:pPr>
              <w:spacing w:after="0"/>
              <w:rPr>
                <w:sz w:val="18"/>
                <w:szCs w:val="18"/>
                <w:color w:val="auto"/>
              </w:rPr>
            </w:pPr>
          </w:p>
        </w:tc>
      </w:tr>
      <w:tr>
        <w:trPr>
          <w:trHeight w:val="121"/>
        </w:trPr>
        <w:tc>
          <w:tcPr>
            <w:tcW w:w="536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(4,894,732)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(29,241,319)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(7,204,957)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of cash on disposal of subsidiary</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plant and equipment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833,172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205,291</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(4,894,732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(28,408,147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(6,999,666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21"/>
        </w:trPr>
        <w:tc>
          <w:tcPr>
            <w:tcW w:w="536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 capital</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ordinary shares upon IPO,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20,039,124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4,937,568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(57,084)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(293,146)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fixed deposits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(43,174)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charges paid</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(111,620)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(108,785)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(646,754)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(730,182)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(179,914)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interest paid</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(262,176)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(246,123)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1,000,000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2,500,000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615,991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of fixed deposits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from related parties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from/(repayment to) shareholders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(886)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from/(repayment to) directors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(137,181)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20,639,425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21"/>
        </w:trPr>
        <w:tc>
          <w:tcPr>
            <w:tcW w:w="5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611,135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8,790,916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2,166,052</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(241,006)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370,129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91,198</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370,129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9,161,045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21"/>
        </w:trPr>
        <w:tc>
          <w:tcPr>
            <w:tcW w:w="5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6"/>
        </w:trPr>
        <w:tc>
          <w:tcPr>
            <w:tcW w:w="73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Supplement disclosures of non-cash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These transactions did not involve cash flows and are therefore excluded from the statement of cash</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flows in accordance with IAS 7 Statement of Cash Flows</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Class A ordinary shares for professional services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1,740,206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428,781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Class A ordinary shares for consultant services (recognized as prepayments)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12,612,260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3,107,617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Class A ordinary shares for licensing (recognized as prepayments)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8,262,048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2,035,739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Class A ordinary shares for server infrastructure (recognized as prepayments)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28,483,410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7,018,211</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Class A ordinary shares for project management services (recognized as prepayments)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6,196,536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1,526,804</w:t>
            </w:r>
          </w:p>
        </w:tc>
      </w:tr>
      <w:tr>
        <w:trPr>
          <w:trHeight w:val="560"/>
        </w:trPr>
        <w:tc>
          <w:tcPr>
            <w:tcW w:w="7320" w:type="dxa"/>
            <w:vAlign w:val="bottom"/>
            <w:tcBorders>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54</w:t>
            </w: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231"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the Company generated RM5,764,742 or $1,420,412 from operating activities. The cash inflow was primarily attributable to profit before tax adjusted for non-cash items, coupled with favorable working capital movements, including increases in other receivables and prepayments, trade payables, other payables, and accrued liabilities, as well as reductions in trade receivables and deferred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the Company generated RM16,559,638 or $4,080,237 from operating activities. The increase was mainly driven by higher profit before tax adjusted for non-cash items, together with favorable changes in working capital, including increases in other receivables and prepayments, trade payables, other payables, and accrued liabilities, as well as a reduction in trade receivables. The significant improvement in operating cash flow reflects enhanced collection efficiency, disciplined working capital management, and increased business activity following the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the Company invested RM4,894,732 or $1,206,045 in plant and equipment to support business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the Company used RM28,408,147 or $6,999,666 in investing activities. Capital expenditures were primarily incurred for the acquisition of plant and equipment to support new business segments and technological upgrades, partially offset by proceeds from the disposal of plant and equipment. The increase in capital investment is in line with the Group’s post-IPO strategy to enhance operational capacity, strengthen infrastructure, and support long-term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the Company used RM258,875 or $63,786 in financing activities. This was mainly attributable to repayments of lease liabilities, bank borrowings, and amounts due to shareholders and directors, as well as increases in fixed deposits, partially offset by proceeds from bank overdrafts and bank loans.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the Company generated RM20,639,425 or $5,085,481 from financing activities. The increase was primarily driven by proceeds from the issuance of new share capital in connection with the IPO, as well as additional bank borrowings, partially offset by repayments of lease liabilities and bank loans, and increases in fixed deposits. These financing inflows strengthened the Company’s liquidity position and supported its expansion and capital investment initiatives during the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2023 and 2024</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9"/>
                <w:szCs w:val="19"/>
                <w:color w:val="auto"/>
              </w:rPr>
            </w:pP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for the year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4,656,301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7,165,510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1,765,556</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734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Adjustments to reconcile net profit to net cash used in operating activities:</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36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1,639,079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1,687,992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415,915</w:t>
            </w:r>
          </w:p>
        </w:tc>
      </w:tr>
      <w:tr>
        <w:trPr>
          <w:trHeight w:val="216"/>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13,615</w:t>
            </w: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401,600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(52,927)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(13,041)</w:t>
            </w:r>
          </w:p>
        </w:tc>
      </w:tr>
      <w:tr>
        <w:trPr>
          <w:trHeight w:val="216"/>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of lease liability</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w:t>
            </w: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64,599</w:t>
            </w:r>
          </w:p>
        </w:tc>
      </w:tr>
      <w:tr>
        <w:trPr>
          <w:trHeight w:val="216"/>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charges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27,503</w:t>
            </w: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(662,701)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1,366,789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2,372,883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584,670</w:t>
            </w: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termination of lease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for expected credit loss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(90,205)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40" w:type="dxa"/>
            <w:vAlign w:val="bottom"/>
            <w:tcBorders>
              <w:top w:val="single" w:sz="8" w:color="CCEEFF"/>
              <w:bottom w:val="single" w:sz="8" w:color="CCEEFF"/>
            </w:tcBorders>
            <w:gridSpan w:val="5"/>
          </w:tcPr>
          <w:p>
            <w:pPr>
              <w:spacing w:after="0" w:line="203" w:lineRule="exact"/>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7,646,731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11,612,600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2,861,303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(1,139,340)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(6,418,937)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(1,581,603)</w:t>
            </w:r>
          </w:p>
        </w:tc>
      </w:tr>
      <w:tr>
        <w:trPr>
          <w:trHeight w:val="216"/>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(6,032,450)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3,208,914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790,665</w:t>
            </w:r>
          </w:p>
        </w:tc>
      </w:tr>
      <w:tr>
        <w:trPr>
          <w:trHeight w:val="216"/>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225,925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479,896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118,245</w:t>
            </w:r>
          </w:p>
        </w:tc>
      </w:tr>
      <w:tr>
        <w:trPr>
          <w:trHeight w:val="216"/>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(423,787)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(104,420)</w:t>
            </w:r>
          </w:p>
        </w:tc>
      </w:tr>
      <w:tr>
        <w:trPr>
          <w:trHeight w:val="237"/>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1,823,535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(2,691,244)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(663,113)</w:t>
            </w:r>
          </w:p>
        </w:tc>
      </w:tr>
      <w:tr>
        <w:trPr>
          <w:trHeight w:val="223"/>
        </w:trPr>
        <w:tc>
          <w:tcPr>
            <w:tcW w:w="734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5,767,442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(29,843)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r>
      <w:tr>
        <w:trPr>
          <w:trHeight w:val="210"/>
        </w:trPr>
        <w:tc>
          <w:tcPr>
            <w:tcW w:w="7340" w:type="dxa"/>
            <w:vAlign w:val="bottom"/>
            <w:tcBorders>
              <w:top w:val="single" w:sz="8" w:color="CCEEFF"/>
              <w:bottom w:val="single" w:sz="8" w:color="CCEEFF"/>
            </w:tcBorders>
            <w:gridSpan w:val="5"/>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2,459,176</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5,764,742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1,420,412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plant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of cash on disposal of subsidiary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300" w:val="left"/>
          <w:tab w:leader="none" w:pos="2640" w:val="left"/>
        </w:tabs>
        <w:rPr>
          <w:sz w:val="20"/>
          <w:szCs w:val="20"/>
          <w:color w:val="auto"/>
        </w:rPr>
      </w:pPr>
      <w:r>
        <w:rPr>
          <w:rFonts w:ascii="Times New Roman" w:cs="Times New Roman" w:eastAsia="Times New Roman" w:hAnsi="Times New Roman"/>
          <w:sz w:val="18"/>
          <w:szCs w:val="18"/>
          <w:color w:val="auto"/>
        </w:rPr>
        <w:t>(5,524,353)</w:t>
      </w:r>
      <w:r>
        <w:rPr>
          <w:sz w:val="20"/>
          <w:szCs w:val="20"/>
          <w:color w:val="auto"/>
        </w:rPr>
        <w:tab/>
      </w:r>
      <w:r>
        <w:rPr>
          <w:rFonts w:ascii="Times New Roman" w:cs="Times New Roman" w:eastAsia="Times New Roman" w:hAnsi="Times New Roman"/>
          <w:sz w:val="18"/>
          <w:szCs w:val="18"/>
          <w:color w:val="auto"/>
        </w:rPr>
        <w:t>(4,894,732)</w:t>
      </w:r>
      <w:r>
        <w:rPr>
          <w:sz w:val="20"/>
          <w:szCs w:val="20"/>
          <w:color w:val="auto"/>
        </w:rPr>
        <w:tab/>
      </w:r>
      <w:r>
        <w:rPr>
          <w:rFonts w:ascii="Times New Roman" w:cs="Times New Roman" w:eastAsia="Times New Roman" w:hAnsi="Times New Roman"/>
          <w:sz w:val="18"/>
          <w:szCs w:val="18"/>
          <w:color w:val="auto"/>
        </w:rPr>
        <w:t>(1,206,045)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-119380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20"/>
        <w:spacing w:after="0"/>
        <w:tabs>
          <w:tab w:leader="none" w:pos="2020" w:val="left"/>
          <w:tab w:leader="none" w:pos="3360" w:val="left"/>
        </w:tabs>
        <w:rPr>
          <w:sz w:val="20"/>
          <w:szCs w:val="20"/>
          <w:color w:val="auto"/>
        </w:rPr>
      </w:pPr>
      <w:r>
        <w:rPr>
          <w:rFonts w:ascii="Times New Roman" w:cs="Times New Roman" w:eastAsia="Times New Roman" w:hAnsi="Times New Roman"/>
          <w:sz w:val="18"/>
          <w:szCs w:val="18"/>
          <w:color w:val="auto"/>
        </w:rPr>
        <w:t>(27,620)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14605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spacing w:after="0"/>
        <w:tabs>
          <w:tab w:leader="none" w:pos="1300" w:val="left"/>
          <w:tab w:leader="none" w:pos="2640" w:val="left"/>
        </w:tabs>
        <w:rPr>
          <w:sz w:val="20"/>
          <w:szCs w:val="20"/>
          <w:color w:val="auto"/>
        </w:rPr>
      </w:pPr>
      <w:r>
        <w:rPr>
          <w:rFonts w:ascii="Times New Roman" w:cs="Times New Roman" w:eastAsia="Times New Roman" w:hAnsi="Times New Roman"/>
          <w:sz w:val="18"/>
          <w:szCs w:val="18"/>
          <w:color w:val="auto"/>
        </w:rPr>
        <w:t>(5,551,973)</w:t>
      </w:r>
      <w:r>
        <w:rPr>
          <w:sz w:val="20"/>
          <w:szCs w:val="20"/>
          <w:color w:val="auto"/>
        </w:rPr>
        <w:tab/>
      </w:r>
      <w:r>
        <w:rPr>
          <w:rFonts w:ascii="Times New Roman" w:cs="Times New Roman" w:eastAsia="Times New Roman" w:hAnsi="Times New Roman"/>
          <w:sz w:val="18"/>
          <w:szCs w:val="18"/>
          <w:color w:val="auto"/>
        </w:rPr>
        <w:t>(4,894,732)</w:t>
      </w:r>
      <w:r>
        <w:rPr>
          <w:sz w:val="20"/>
          <w:szCs w:val="20"/>
          <w:color w:val="auto"/>
        </w:rPr>
        <w:tab/>
      </w:r>
      <w:r>
        <w:rPr>
          <w:rFonts w:ascii="Times New Roman" w:cs="Times New Roman" w:eastAsia="Times New Roman" w:hAnsi="Times New Roman"/>
          <w:sz w:val="18"/>
          <w:szCs w:val="18"/>
          <w:color w:val="auto"/>
        </w:rPr>
        <w:t>(1,206,045)</w:t>
      </w:r>
    </w:p>
    <w:p>
      <w:pPr>
        <w:spacing w:after="0" w:line="200" w:lineRule="exact"/>
        <w:rPr>
          <w:sz w:val="20"/>
          <w:szCs w:val="20"/>
          <w:color w:val="auto"/>
        </w:rPr>
      </w:pPr>
    </w:p>
    <w:p>
      <w:pPr>
        <w:sectPr>
          <w:pgSz w:w="11900" w:h="16838" w:orient="portrait"/>
          <w:cols w:equalWidth="0" w:num="2">
            <w:col w:w="6980" w:space="720"/>
            <w:col w:w="3540"/>
          </w:cols>
          <w:pgMar w:left="320" w:top="873"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 capital</w:t>
            </w:r>
          </w:p>
        </w:tc>
        <w:tc>
          <w:tcPr>
            <w:tcW w:w="276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645,380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7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(104,784)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(57,084)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276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2,699,992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246,396</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27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(330,610)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(646,754)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Loan interest paid</w:t>
            </w:r>
          </w:p>
        </w:tc>
        <w:tc>
          <w:tcPr>
            <w:tcW w:w="276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(164,491)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(262,176)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(64,599)</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charges paid</w:t>
            </w:r>
          </w:p>
        </w:tc>
        <w:tc>
          <w:tcPr>
            <w:tcW w:w="27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(59,964)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(111,620)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fixed deposits</w:t>
            </w:r>
          </w:p>
        </w:tc>
        <w:tc>
          <w:tcPr>
            <w:tcW w:w="276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(807,093)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(43,174)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from related parties</w:t>
            </w:r>
          </w:p>
        </w:tc>
        <w:tc>
          <w:tcPr>
            <w:tcW w:w="27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1,063,118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Repayment from/ (Repayment to) shareholders</w:t>
            </w:r>
          </w:p>
        </w:tc>
        <w:tc>
          <w:tcPr>
            <w:tcW w:w="276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30,852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from/ (Repayment to) directors</w:t>
            </w:r>
          </w:p>
        </w:tc>
        <w:tc>
          <w:tcPr>
            <w:tcW w:w="27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550,351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(137,181)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(33,801)</w:t>
            </w:r>
          </w:p>
        </w:tc>
      </w:tr>
      <w:tr>
        <w:trPr>
          <w:trHeight w:val="210"/>
        </w:trPr>
        <w:tc>
          <w:tcPr>
            <w:tcW w:w="4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7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3,522,751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(258,875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(63,786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76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429,954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611,135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150,581</w:t>
            </w: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(670,960)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(241,006)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(59,383)</w:t>
            </w:r>
          </w:p>
        </w:tc>
      </w:tr>
      <w:tr>
        <w:trPr>
          <w:trHeight w:val="210"/>
        </w:trPr>
        <w:tc>
          <w:tcPr>
            <w:tcW w:w="4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end of year</w:t>
            </w:r>
          </w:p>
        </w:tc>
        <w:tc>
          <w:tcPr>
            <w:tcW w:w="2760" w:type="dxa"/>
            <w:vAlign w:val="bottom"/>
            <w:tcBorders>
              <w:top w:val="single" w:sz="8" w:color="CCEEFF"/>
            </w:tcBorders>
          </w:tcPr>
          <w:p>
            <w:pPr>
              <w:jc w:val="right"/>
              <w:ind w:right="450"/>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(241,006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370,129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91,198</w:t>
            </w:r>
          </w:p>
        </w:tc>
        <w:tc>
          <w:tcPr>
            <w:tcW w:w="100" w:type="dxa"/>
            <w:vAlign w:val="bottom"/>
            <w:tcBorders>
              <w:top w:val="single" w:sz="8" w:color="CCEEFF"/>
            </w:tcBorders>
          </w:tcPr>
          <w:p>
            <w:pPr>
              <w:spacing w:after="0"/>
              <w:rPr>
                <w:sz w:val="18"/>
                <w:szCs w:val="18"/>
                <w:color w:val="auto"/>
              </w:rPr>
            </w:pPr>
          </w:p>
        </w:tc>
      </w:tr>
      <w:tr>
        <w:trPr>
          <w:trHeight w:val="655"/>
        </w:trPr>
        <w:tc>
          <w:tcPr>
            <w:tcW w:w="45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generated RM2,459,176 or $605,932 from operating activities primarily from profit adding back non-cash expenses, and increase in other payables and accrued liabilities and deferred revenue subtracted by non-cash income, increase in other receivable and trade receivable, decrease in trade payables and income tax payment.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generated RM5,764,742 or $1,420,412 from operating activities primarily from profit adding back non-cash expenses, increase in other receivables and prepayment as well as decrease in trade receivables, trade payables, other payables and accrued liabilities, deferred revenue and income tax payment.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invested RM5,551,973 or $1,367,986 in plant and equipment and loss of cash on disposal of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 Company used RM4,894,732 or $1,206,045 in investing activities in plant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generated RM3,522,751 or $867,993 in financing activities primarily from issuance of share capital, proceeds from bank overdraft, bank loans, repayment of outstanding due from shareholders and directors subtracted by repayment of lease liabilities, bank loans, repayment of outstanding due to related parties and increased in fixed deposits.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used of RM258,875 or $63,786 in financing activities primarily from proceeds from bank loan subtracted by repayment of lease liabilities and bank loan, increase in fixed deposits and repayment of outstanding amount due to shareholders and director.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27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8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Investment in plant and equipment:</w:t>
            </w: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&amp; Machine</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4,704,560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4,894,732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22,096,293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5,444,448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775,901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7,031,639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Renovation</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43,892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113,387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27,938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5,524,353</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4,894,732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29,241,319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7,204,957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the Company invested RM5,524,353 or $1,361,181 in plant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the Company invested RM4,894,732 or $1,206,045 in plant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the Company invested RM29,241,319 or $7,204,957 in plant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5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Material Obligation for the twelve years ending December 31, 2025</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RM</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RM</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19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Bank</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Trade</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Repayment Obligation</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payable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payable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payable</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323,399</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1,173,088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335,070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1,749,353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5,143,639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8,724,549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321,878</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1,252,768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1,574,646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387,987</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336,147</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996,901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1,333,048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328,458</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236,347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716,991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953,338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234,899</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55,683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768,277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823,960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203,021</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December 31, 2030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88,434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124,508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212,942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52,468</w:t>
            </w:r>
          </w:p>
        </w:tc>
      </w:tr>
      <w:tr>
        <w:trPr>
          <w:trHeight w:val="27"/>
        </w:trPr>
        <w:tc>
          <w:tcPr>
            <w:tcW w:w="3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1,361,888</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5,032,533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1,749,353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5,143,639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13,622,483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3,356,531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current working capital is adequate to meet these repayment material obligations for the twelve years ended December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expect to generate additional cash flow from operational profit to meet repayment obligation beyond December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Material Obligation as of December 31, 2024</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RM</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RM</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19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Bank</w:t>
            </w:r>
          </w:p>
        </w:tc>
        <w:tc>
          <w:tcPr>
            <w:tcW w:w="240" w:type="dxa"/>
            <w:vAlign w:val="bottom"/>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Bank</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Tax</w:t>
            </w: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Repayment Obligation</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Overdraft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payable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payable</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736,481</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3,918,926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5,235,735</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57,434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782,996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840,430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207,079</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25,598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795,079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820,677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202,212</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7,701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495,036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502,737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123,873</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184,632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192,803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47,506</w:t>
            </w: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December 31, 2029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10,905</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268,491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279,396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68,842</w:t>
            </w:r>
          </w:p>
        </w:tc>
      </w:tr>
      <w:tr>
        <w:trPr>
          <w:trHeight w:val="27"/>
        </w:trPr>
        <w:tc>
          <w:tcPr>
            <w:tcW w:w="3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162,577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3,262,715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104,587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422,973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3,918,926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7,871,778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1,939,579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current working capital is adequate to meet these repayment material obligations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expect to generate additional cash flow from operational profit to meet repayment obligation beyond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RM2,250,000 or $554,392 overdraft facility through its subsidiaries from two banks for working capital purposes, with no amounts drawn and the full facility remaining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5.C. Research and Development, Patent and Licenses, etc.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4. Information on the Company - D. Property, Plant and Equipment -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Useful lives of plant and equipment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Group’s management determines the estimated useful lives and the related depreciation charge for the Group’s plant and equipment. This estimate is based on the historical experience of the actual useful lives of plant and equipment of similar nature and functions. Management will increase the depreciation charge where useful lives are less than previously estimated lives, or will write off or write down technically obsolete or non-strategic assets that have been abandoned or sold. Actual economic lives may differ from estimated useful lives. Periodic review could result in a change in depreciable lives and therefore depreciation charge in the future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Trade Receivables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uses the simplified approach to estimate a lifetime expected credit loss allowance for all trade receivables. The Group develops the expected loss rates based on the payment profiles of past sales and the corresponding historical credit losses, and adjusts for qualitative and quantitative reasonable and supportable forward-looking information. If the expectation is different from the estimation, such difference will impact the carrying value of trade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2023, 2024 and 2025</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exposed to market risk (including foreign currency risk and interest rate risk), credit risk, and liquidity risk in the ordinary course of business. Our overall financial risk management policy focuses on the unpredictability of financial markets and seeks to minimize potential adverse effects on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expose to foreign currency risk due to transactions and balances denominated in currencies other than the functional currency of the respective entities of the Group, with the primary risk arising from the Chinese Renminbi (“RMB”). The Group closely monitor foreign currency risk on an ongoing basis to ensure that our net exposure remains at an acceptable level.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minimal foreign currency risk due to its foreign supplier policy of making prepayments in advance of delivery, thus eliminating the need for credit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exposed to interest rate risk arise mainly from interest-bearing bank loans. The interest rates and repayment terms of these loans are disclosed in Note 14 of the financial statements. Currently, The Group does not have an interest rate hedging policy. The sensitivity analysis below is based on our exposure to interest rates for non-derivative instruments at the end of the reporting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We use a 50-basis point increase or decrease to report interest rate risk internally to key management personnel, as this represents management’s assessment of a reasonably possible change in interest rates. If interest rates on loans had been 50 basis points higher or lower, with all other variables held constant, our profit would decrease or increase by approximately RM15,098 for the year ended December 31, 2025 and RM16,707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risk arises mainly due to general funding and business activities. The Group practices prudent risk management by maintaining sufficient cash balances and the availability of funding through certain committed credit facilities. The table below analyses non-derivative financial liabilities of the Group into relevant maturity groupings based on the remaining period from the statement of financial position date to the contractual maturity date. The amounts disclosed in the table are the contractual undiscounted cash flows, which includes both principal and interest. Balances due within 12 months equal their carrying amounts as the impact of discounting is not significant.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2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89"/>
        </w:trPr>
        <w:tc>
          <w:tcPr>
            <w:tcW w:w="1340" w:type="dxa"/>
            <w:vAlign w:val="bottom"/>
            <w:tcBorders>
              <w:bottom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Bank borrowings</w:t>
            </w:r>
          </w:p>
        </w:tc>
        <w:tc>
          <w:tcPr>
            <w:tcW w:w="2740" w:type="dxa"/>
            <w:vAlign w:val="bottom"/>
            <w:gridSpan w:val="3"/>
          </w:tcPr>
          <w:p>
            <w:pPr>
              <w:spacing w:after="0"/>
              <w:rPr>
                <w:sz w:val="16"/>
                <w:szCs w:val="16"/>
                <w:color w:val="auto"/>
              </w:rPr>
            </w:pPr>
          </w:p>
        </w:tc>
        <w:tc>
          <w:tcPr>
            <w:tcW w:w="19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40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Repayment within:</w:t>
            </w:r>
          </w:p>
        </w:tc>
        <w:tc>
          <w:tcPr>
            <w:tcW w:w="1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3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773,744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976,072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1,515,098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373,315</w:t>
            </w:r>
          </w:p>
        </w:tc>
      </w:tr>
      <w:tr>
        <w:trPr>
          <w:trHeight w:val="216"/>
        </w:trPr>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3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773,744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963,436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373,459</w:t>
            </w:r>
          </w:p>
        </w:tc>
      </w:tr>
      <w:tr>
        <w:trPr>
          <w:trHeight w:val="216"/>
        </w:trPr>
        <w:tc>
          <w:tcPr>
            <w:tcW w:w="4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5 years</w:t>
            </w:r>
          </w:p>
        </w:tc>
        <w:tc>
          <w:tcPr>
            <w:tcW w:w="3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1,823,933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1,693,768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2,805,652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691,303</w:t>
            </w:r>
          </w:p>
        </w:tc>
      </w:tr>
      <w:tr>
        <w:trPr>
          <w:trHeight w:val="216"/>
        </w:trPr>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3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38,102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288,536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31,172</w:t>
            </w:r>
          </w:p>
        </w:tc>
      </w:tr>
      <w:tr>
        <w:trPr>
          <w:trHeight w:val="216"/>
        </w:trPr>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0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Bank overdraft</w:t>
            </w: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3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1,064,530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20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Lease liabilities</w:t>
            </w:r>
          </w:p>
        </w:tc>
        <w:tc>
          <w:tcPr>
            <w:tcW w:w="2880" w:type="dxa"/>
            <w:vAlign w:val="bottom"/>
            <w:tcBorders>
              <w:bottom w:val="single" w:sz="8" w:color="CCEEFF"/>
            </w:tcBorders>
            <w:gridSpan w:val="4"/>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0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Repayment within:</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3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382,416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94,226</w:t>
            </w:r>
          </w:p>
        </w:tc>
      </w:tr>
      <w:tr>
        <w:trPr>
          <w:trHeight w:val="216"/>
        </w:trPr>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3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60,204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89,742</w:t>
            </w:r>
          </w:p>
        </w:tc>
      </w:tr>
      <w:tr>
        <w:trPr>
          <w:trHeight w:val="216"/>
        </w:trPr>
        <w:tc>
          <w:tcPr>
            <w:tcW w:w="4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5 years</w:t>
            </w:r>
          </w:p>
        </w:tc>
        <w:tc>
          <w:tcPr>
            <w:tcW w:w="3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98,532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672,552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165,714</w:t>
            </w:r>
          </w:p>
        </w:tc>
      </w:tr>
      <w:tr>
        <w:trPr>
          <w:trHeight w:val="216"/>
        </w:trPr>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3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20,426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22,745</w:t>
            </w:r>
          </w:p>
        </w:tc>
      </w:tr>
      <w:tr>
        <w:trPr>
          <w:trHeight w:val="216"/>
        </w:trPr>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40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Trade payable</w:t>
            </w: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3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423,787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82,559</w:t>
            </w: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 payable</w:t>
            </w:r>
          </w:p>
        </w:tc>
        <w:tc>
          <w:tcPr>
            <w:tcW w:w="2960" w:type="dxa"/>
            <w:vAlign w:val="bottom"/>
            <w:tcBorders>
              <w:bottom w:val="single" w:sz="8" w:color="CCEEFF"/>
            </w:tcBorders>
            <w:gridSpan w:val="5"/>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0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3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692,841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422,973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1,749,353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431,035</w:t>
            </w:r>
          </w:p>
        </w:tc>
      </w:tr>
      <w:tr>
        <w:trPr>
          <w:trHeight w:val="216"/>
        </w:trPr>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0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Amount due to director</w:t>
            </w: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3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137,181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120" w:type="dxa"/>
            <w:vAlign w:val="bottom"/>
            <w:tcBorders>
              <w:bottom w:val="single" w:sz="8" w:color="auto"/>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Amount due to shareholder</w:t>
            </w:r>
          </w:p>
        </w:tc>
        <w:tc>
          <w:tcPr>
            <w:tcW w:w="19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4"/>
        </w:trPr>
        <w:tc>
          <w:tcPr>
            <w:tcW w:w="40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3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886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primarily arises from the possibility of customers failing to fulfill their payment obligations for the services provided. The Group addresses this risk by conducting thorough customer screening and segmentation based on creditworthiness, setting appropriate credit limits, and enforcing stringent payment terms such as upfront payments and short billing cycles.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credit losses are measured as the difference in the present value of the contractual cash flows that are due to the Company under the contract, and the cash flows that the Company expects to receive. The Company assesses all information available, including past due status, and forward looking macro-economic factors in the measurement of the expected credit losses associated with its assets carried at amortized cost.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76"/>
        </w:trPr>
        <w:tc>
          <w:tcPr>
            <w:tcW w:w="5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Trade receivable</w:t>
            </w: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Collection within less than 1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1,990,414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8,409,351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11,204,601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Other receivables</w:t>
            </w:r>
          </w:p>
        </w:tc>
        <w:tc>
          <w:tcPr>
            <w:tcW w:w="462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Collection within less than 1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4,513,832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2,867,160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75"/>
        </w:trPr>
        <w:tc>
          <w:tcPr>
            <w:tcW w:w="5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Lifetime expected credit loss</w:t>
            </w: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January 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 Charge for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Written off during the year</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(90,205)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As at December 31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4"/>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302,921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and December 31, 2023, the company made a deliberate decision to abstain from setting aside any provision for doubtful debt, given the fact that by February 28, 2025 and March 21, 2024 respectively, the company had successfully received complete settlement of all outstanding amounts owed by trade receivables.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recognizes expected credit losses (ECL) for accounts receivable based on the simplified approach. The simplified approach to the recognition of expected losses does not require the Company to track the changes in credit risk; rather, the Company recognizes a loss allowance based on lifetime expected credit losses at each reporting date from the date of the accounts receivable.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manages its capital to ensure that entities within our Company will be able to maintain an optimal capital structure so as to support our businesses and maximize shareholders value. To achieve this objective, we may make adjustments to the capital structure in view of changes in economic conditions, such as adjusting the amount of dividend payment, returning of capital to shareholders or issuing new shares.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Group manage its capital based on debt-to-equity ratio that complies with debt covenants and regulatory, if any. The debt-to-equity ratio is calculated as net debt divided by total equity. Net debt is calculated as lease liability, borrowings and bank overdraft plus trade and other payables less cash and bank balances. Total capital is calculated as total equity plus net debts. Capital includes equity attributable to the owners of the parent and non-controlling interest.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5740" w:type="dxa"/>
            <w:vAlign w:val="bottom"/>
          </w:tcPr>
          <w:p>
            <w:pPr>
              <w:spacing w:after="0"/>
              <w:rPr>
                <w:sz w:val="16"/>
                <w:szCs w:val="16"/>
                <w:color w:val="auto"/>
              </w:rPr>
            </w:pPr>
          </w:p>
        </w:tc>
        <w:tc>
          <w:tcPr>
            <w:tcW w:w="13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r>
      <w:tr>
        <w:trPr>
          <w:trHeight w:val="245"/>
        </w:trPr>
        <w:tc>
          <w:tcPr>
            <w:tcW w:w="57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r>
      <w:tr>
        <w:trPr>
          <w:trHeight w:val="194"/>
        </w:trPr>
        <w:tc>
          <w:tcPr>
            <w:tcW w:w="5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2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57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debt/(Net cash)</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3,478,485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2,298,706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(2,670,486)</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(657,998)</w:t>
            </w:r>
          </w:p>
        </w:tc>
        <w:tc>
          <w:tcPr>
            <w:tcW w:w="220" w:type="dxa"/>
            <w:vAlign w:val="bottom"/>
            <w:tcBorders>
              <w:top w:val="single" w:sz="8" w:color="CCEEFF"/>
            </w:tcBorders>
            <w:shd w:val="clear" w:color="auto" w:fill="CCEEFF"/>
          </w:tcPr>
          <w:p>
            <w:pPr>
              <w:spacing w:after="0"/>
              <w:rPr>
                <w:sz w:val="18"/>
                <w:szCs w:val="18"/>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10,218,691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17,384,201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102,011,998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25,135,395</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13,697,176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19,682,907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99,341,512</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24,477,397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Gearing ratio</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Malaysia’s inflation rates stood at 2.5% for the year ended December 31, 2023, 1.7% for the year ended December 31, 2024, and 1.6% for the year ended December 31, 2025. These figures indicate a moderate level of inflation during these years and we believe that there will be no material impact on their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6.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titles of our Directors and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Ng Chen Lok</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and Executive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Zuria Hajar Bt Mohd Adnan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and Chief Financial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Loong Xin Yee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 Kim Chuan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1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97"/>
        </w:trPr>
        <w:tc>
          <w:tcPr>
            <w:tcW w:w="3380" w:type="dxa"/>
            <w:vAlign w:val="bottom"/>
            <w:tcBorders>
              <w:top w:val="single" w:sz="8" w:color="auto"/>
            </w:tcBorders>
            <w:shd w:val="clear" w:color="auto" w:fill="CCEEFF"/>
          </w:tcPr>
          <w:p>
            <w:pPr>
              <w:ind w:left="20"/>
              <w:spacing w:after="0" w:line="296" w:lineRule="exact"/>
              <w:rPr>
                <w:sz w:val="20"/>
                <w:szCs w:val="20"/>
                <w:color w:val="auto"/>
              </w:rPr>
            </w:pPr>
            <w:r>
              <w:rPr>
                <w:rFonts w:ascii="Times New Roman" w:cs="Times New Roman" w:eastAsia="Times New Roman" w:hAnsi="Times New Roman"/>
                <w:sz w:val="18"/>
                <w:szCs w:val="18"/>
                <w:color w:val="auto"/>
              </w:rPr>
              <w:t>Elain binti Lockman</w:t>
            </w:r>
            <w:r>
              <w:rPr>
                <w:rFonts w:ascii="Times New Roman" w:cs="Times New Roman" w:eastAsia="Times New Roman" w:hAnsi="Times New Roman"/>
                <w:sz w:val="29"/>
                <w:szCs w:val="29"/>
                <w:color w:val="auto"/>
                <w:vertAlign w:val="superscript"/>
              </w:rPr>
              <w:t>(1)(2)(3)</w:t>
            </w: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Borders>
              <w:top w:val="single" w:sz="8" w:color="CCEEFF"/>
            </w:tcBorders>
            <w:shd w:val="clear" w:color="auto" w:fill="CCEEFF"/>
          </w:tcPr>
          <w:p>
            <w:pPr>
              <w:spacing w:after="0"/>
              <w:rPr>
                <w:sz w:val="24"/>
                <w:szCs w:val="24"/>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97"/>
        </w:trPr>
        <w:tc>
          <w:tcPr>
            <w:tcW w:w="3500" w:type="dxa"/>
            <w:vAlign w:val="bottom"/>
            <w:gridSpan w:val="2"/>
          </w:tcPr>
          <w:p>
            <w:pPr>
              <w:spacing w:after="0" w:line="296" w:lineRule="exact"/>
              <w:rPr>
                <w:sz w:val="20"/>
                <w:szCs w:val="20"/>
                <w:color w:val="auto"/>
              </w:rPr>
            </w:pPr>
            <w:r>
              <w:rPr>
                <w:rFonts w:ascii="Times New Roman" w:cs="Times New Roman" w:eastAsia="Times New Roman" w:hAnsi="Times New Roman"/>
                <w:sz w:val="18"/>
                <w:szCs w:val="18"/>
                <w:color w:val="auto"/>
              </w:rPr>
              <w:t>Ng Aik Soon</w:t>
            </w:r>
            <w:r>
              <w:rPr>
                <w:rFonts w:ascii="Times New Roman" w:cs="Times New Roman" w:eastAsia="Times New Roman" w:hAnsi="Times New Roman"/>
                <w:sz w:val="29"/>
                <w:szCs w:val="29"/>
                <w:color w:val="auto"/>
                <w:vertAlign w:val="superscript"/>
              </w:rPr>
              <w:t>(1)(2)(3)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97"/>
        </w:trPr>
        <w:tc>
          <w:tcPr>
            <w:tcW w:w="3500" w:type="dxa"/>
            <w:vAlign w:val="bottom"/>
            <w:gridSpan w:val="2"/>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Chen Xiang Foong</w:t>
            </w:r>
            <w:r>
              <w:rPr>
                <w:rFonts w:ascii="Times New Roman" w:cs="Times New Roman" w:eastAsia="Times New Roman" w:hAnsi="Times New Roman"/>
                <w:sz w:val="29"/>
                <w:szCs w:val="29"/>
                <w:color w:val="auto"/>
                <w:vertAlign w:val="superscript"/>
              </w:rPr>
              <w:t>(1)(2)(3)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shd w:val="clear" w:color="auto" w:fill="CCEEFF"/>
          </w:tcPr>
          <w:p>
            <w:pPr>
              <w:spacing w:after="0"/>
              <w:rPr>
                <w:sz w:val="24"/>
                <w:szCs w:val="24"/>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arrangement or understanding exists between any such Director or officer and any other persons pursuant to which any Director or executive officer was elected as a Director or executive officer. Our Directors are elected annually at the board meeting and serve until their successors take office or until their death, resignation or removal. The Executive Officers serve at the pleasure of the Board.</w:t>
      </w:r>
    </w:p>
    <w:p>
      <w:pPr>
        <w:spacing w:after="0" w:line="176"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Directors and Officers: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Ng Chen Lok </w:t>
      </w:r>
      <w:r>
        <w:rPr>
          <w:rFonts w:ascii="Times New Roman" w:cs="Times New Roman" w:eastAsia="Times New Roman" w:hAnsi="Times New Roman"/>
          <w:sz w:val="18"/>
          <w:szCs w:val="18"/>
          <w:color w:val="auto"/>
        </w:rPr>
        <w:t>is our Executive Director, Chairman and Chief Executive Officer. Mr. Ng Chen Lok is responsible for the overall business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With extensive experience spanning over a decade in the information technology industry in Malaysia, Mr. Ng Chen Lok continues to lead our Company to greater heights, providing guidance and direction to the Company. Under Mr. Ng Chen Lok’s guidance, our company successfully grew from a humble three-person operation to targeting a revenue goal of RM10 million by 2029. From 2015 to 2018, Mr. Ng Chen Lok was at M3 Technologies (Asia) Bhd, a Malaysia Bursa Ace Board listed company focusing on Internet Of Thing (IOT) and cloud software program development, climbing the ranks from Sales Manager to General Manager in just three years. In 2012, Mr. Ng Chen Lok served as the Sales Manager at Wisdom Tronic Sdn Bhd, an internet development company that was an exclusive partner with Taiwan Wistron group, a Global Fortune 500 company, which developed and resold educational hardware and software.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Ms. Zuria Hajar Bt Mohd Adnan </w:t>
      </w:r>
      <w:r>
        <w:rPr>
          <w:rFonts w:ascii="Times New Roman" w:cs="Times New Roman" w:eastAsia="Times New Roman" w:hAnsi="Times New Roman"/>
          <w:sz w:val="18"/>
          <w:szCs w:val="18"/>
          <w:color w:val="auto"/>
        </w:rPr>
        <w:t>is an Executive Director and Chief Financial Officer of our Company. Ms. Zuria joined the Company in January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she oversees the management of all finance and accounting related matters of the Company. As a well-respected team leader and key member, Ms. Zuria possesses 6 years of professional experience in the field of finance and accounting, where she seeks to constantly leverage her previous experience to maximize the potential of herself within the Company. From July 2018 to December 2022, she was at Times Media Sdn Bhd, where she progressed from a Finance and Account Executive to a Team Leader in 3 short years. From February 2015 to May 2018, Ms. Zuria honed her skill as an accounting executive at FNR Synergy Sdn Bhd, specializing in tasks related to finance and accounting, costing, budgeting, taxation and auditing. Ms. Zuria holds a Master, Bachelors, and Diploma in Accountancy from Universiti Teknologi Mara, which she obtained in 2018, 2016 and 2013 respectively. Ms. Zuria was also certified as a Chartered Accounted in 2022 from the Malaysian Institute of Accounts, and obtained an Advanced Diploma in Management Accounting from the Association of International Certified Professional Accountants in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Ms. Loong Xin Yee </w:t>
      </w:r>
      <w:r>
        <w:rPr>
          <w:rFonts w:ascii="Times New Roman" w:cs="Times New Roman" w:eastAsia="Times New Roman" w:hAnsi="Times New Roman"/>
          <w:sz w:val="18"/>
          <w:szCs w:val="18"/>
          <w:color w:val="auto"/>
        </w:rPr>
        <w:t>is the Chief Operations Officer of our Company. Ms. Loong joined the Company in August 2023, and was subsequently appointed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Operations Officer of our Company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2024, where she oversees the day-to-day operations of the Company. A motivated and driven individual, Ms. Loong strives to utilize her deductive reasoning, mathematical, and problem-solving skills to improve herself for the benefit of the Company, and constantly seeks to expand her knowledge and skill. From March 2022 to June 2023, Ms. Loong was an associate accountant at Fintrek Sdn Bhd, where she developed new or amended accounting systems, programs, and procedures, while liaising with multiple parties such as banks, government agencies, lawyers, for matters related to Finance and Accounts. From June 2023 to the present, Ms. Loong took the role of executive accountant at BR Aesthetic Sdn Bhd, where she handled accounts, prepared financial statements, month-end closing activities, balance sheet reconciliations, and intercompany transactions. Ms. Loong is also in charge of overseeing the operations and development of the company’s finance departments including creating and reviewing policies, budgeting, recruiting, training and conducting regular assessments of financial procedures. Ms. Loong holds a Bachelor’s degree in commerce in Accounting and Finance from the University of Queensland in 2020, as well as a Bachelor of Art (Honours) in Accounting and Finance from Taylor’s University, which she obtained in 2017.</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Tan Kim Chuan </w:t>
      </w:r>
      <w:r>
        <w:rPr>
          <w:rFonts w:ascii="Times New Roman" w:cs="Times New Roman" w:eastAsia="Times New Roman" w:hAnsi="Times New Roman"/>
          <w:sz w:val="18"/>
          <w:szCs w:val="18"/>
          <w:color w:val="auto"/>
        </w:rPr>
        <w:t>is the Chief Technology Officer of our Company. Mr. Tan is a seasoned professional, with over 18 years of experience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Primarily focused on Project and Supply Chain Management, Mr. Tan uses his excellent people skills to manage and motivate the Company’s employees, where he thrives in high-pressure environments. From May 2022 to the present, Mr. Tan serves as the Co-Founder of PT. Tofix Niaga Indonesia, where he oversees the Non-Performing Asset Disposal Business, which involves buying and reselling second-hand assets. Mr. Tan also serves as the Co-Founder of PT. Tosmart Trade International from November 2021 to the present, where he oversees the build-up and operations with regard to the B2B2C Vending Machine Business, expanding vending machines across Indonesia. From August 2018 to September 2021, Mr. Tan served as the Head of Vending Machine Services for Bluepay (Malaysia) Sdn Bhd, where he was involved in organizing, training operational team members as well as manage vendors &amp; suppliers, with a focus on after-sales services. From August 2008 to August 2018, Mr. Tan proved his mettle as the Assistant General Manager for M3 Technologies (Asia) Berhad, where he served as the head of the VAS division overseeing business development and operation management, managing important accounts with key customers such as Petronas and Prudential. Mr. Tan holds a Bachelor’s (Honors) Degree in Multimedia Computing from the University of Coventry, which he obtained in 2005, as well as a Certificate in Computing and IT from INTI-UC Malaysia, which he obtained in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Ms. Elain binti Lockman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 Lockman</w:t>
      </w:r>
      <w:r>
        <w:rPr>
          <w:rFonts w:ascii="Times New Roman" w:cs="Times New Roman" w:eastAsia="Times New Roman" w:hAnsi="Times New Roman"/>
          <w:sz w:val="18"/>
          <w:szCs w:val="18"/>
          <w:color w:val="auto"/>
        </w:rPr>
        <w:t>”) is our Independent Director. Ms. Lockman serves as chairman of the Compensation Committee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Audit and Nomination committees. Ms. Lockman is currently the CEO and Co-Founder of ATA Plus since May 2015, a licensed equity crowdfunding platform regulated by the Securities Commission of Malaysia, where she oversees the company’s strategic direction and operations. Her career spans management, business strategy, HR, marketing, and communications, where she has worked with major corporations and government agencies like Petronas. She is also currently an independent director of Reservoir Link Berhad (RL: KLSE MYR) and Propel Global Berhad (PGB: KLSE MYR), listed on the Main Market of the Kuala Lumpur Stock Exchange. Previously, she was a director at One Big Idea, where she provided hands-on and personalized business consulting and value-added services to clients in the areas of business growth, branding, sales and marketing strategies. Ms Lockman graduated from The London School of Economics and Political Science with a Bachelor of Science (Actuarial Science) in 1991, and a Master of Science (Operational Research) in 1992.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Lockman does not have any family relationship with any director or executive officer of the Company. She has not been involved in any transaction with the Company during the past two years that would require disclosure under Item 404(a) of Regulation S-K.</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Ng Aik Soon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Mr. Ng</w:t>
      </w:r>
      <w:r>
        <w:rPr>
          <w:rFonts w:ascii="Times New Roman" w:cs="Times New Roman" w:eastAsia="Times New Roman" w:hAnsi="Times New Roman"/>
          <w:sz w:val="18"/>
          <w:szCs w:val="18"/>
          <w:color w:val="auto"/>
        </w:rPr>
        <w:t>”) is our Independent Director. Mr. Ng serves as chairman of the Nomination Committee and as a member of the Audit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Committees. Mr. Ng has over 15 years of experience in business development and management across fintech, logistics, e-commerce and technology-related industries. From July 2025 to present, Mr. Ng has served as Business Development Manager at Awsome Enterprise (Setlary – Earned Wage Access), where he is responsible for developing and executing business growth strategies for the company’s Earned Wage Access platform, establishing B2B partnership frameworks, onboarding corporate and SME clients, and coordinating with HR, payroll and fintech integration teams to support product adoption. From July 2021 to August 2024, Mr. Ng served as Business Development Manager at MYXpress Management Sdn. Bhd., where he led cross-functional teams, oversaw operational and performance improvement initiatives, and was responsible for business development, client relationship management and internal process optimization. From May 2020 to May 2021, Mr. Ng served as Senior Business Development Manager at JDMAS Commerce Sdn. Bhd., where he focused on merchant onboarding, strategic partnerships and cross-border e-commerce initiatives, including supporting Malaysian merchants’ entry onto JD.com. Mr. Ng received the Malaysian Certificate of Education (SPM) from SMK Tinggi Setapak, Kuala Lumpur in 1996.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Chen Xiang Foong (“Mr. Chen”) </w:t>
      </w:r>
      <w:r>
        <w:rPr>
          <w:rFonts w:ascii="Times New Roman" w:cs="Times New Roman" w:eastAsia="Times New Roman" w:hAnsi="Times New Roman"/>
          <w:sz w:val="18"/>
          <w:szCs w:val="18"/>
          <w:color w:val="auto"/>
        </w:rPr>
        <w:t>is our Independent Director. Mr. Chen serves as chairman of the Audit Committee and 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Nomination and Compensation Committees. Mr. Chen is an approved audit license auditor with over a decade of experience in audit and advisory services, specializing in external audit, IPO advisory, financial reporting, due diligence for M&amp;A cases and compliance with legal regulations. He is presently the managing partner and founder of CL &amp; Co PLT, Malaysia, a boutique audit and advisory firm, providing services in external audit, financial reporting and corporate advisory, where he has successfully advised clients on IPO readiness, financial due diligence and compliance with local and international accounting standards. From 2016 to 2019, he was an audit manager at Ernst &amp; Young Malaysia, where he managed an audit portfolio worth RM1.3 million, including top-tier global clients and government-linked conglomerates, while pioneering consultation services for clients on implementing international financial reporting standards. Mr. Chen is a graduate of Sunway University, where he possesses professional certificates in accounting as a certified accounting technician. Mr. Chen is also a Fellow of the Institute of Chartered Accountants in England and Wales, and a Member of the Malaysian Institute of Accountants.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Chen does not have any family relationship with any director or executive officer of the Company. He has not been involved in any transaction with the Company during the past two years that would require disclosure under Item 404(a)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directors or executive officers has a family relationship as defined in Item 401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executive officers and employee directors. Each of them is employed for a specified time period. We may terminate employment for cause, at any time, without advance notice or remuneration, for certain acts of the executive officer. We may also terminate an executive officer’s employment without cause upon advance written notice. The executive officer and employee director may resign at any time with an advance written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June 27, 2024, Ng Chen Lok, our Chief Executive Officer, Director and Chairman of the Board entered into an Employment Agreement with Sagtec Global Limited. The agreement provides for an annual base salary, together with such additional discretionary bonus. Ng Chen Lok’s employment will continue indefinitely, subject to, amongst others, termination by either party to the agreement upon 30 days prior written notice or the equivalent salary in lieu of such notice. The agreement also provides that Ng Chen Lok shall not, during the term of the agreement and for 12 months after cessation of employment, carry on business in competition with the Group. Mr. Ng Chen Lok is entitled to an annual base salary of US$24,000.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June 27, 2024, Zuria Hajar Bt Mohd Adnan, our Chief Financial Officer and Director, entered into an Employment Agreement with Sagtec Global Limited. The agreement provides for an annual base salary, together with such additional discretionary bonus. Zuria Hajar Bt Mohd Adnan’s employment will continue indefinitely, subject to, amongst others, termination by either party to the agreement upon 30 days prior written notice or the equivalent salary in lieu of such notice. The agreement also provides that Zuria Hajar Bt Mohd Adnan shall not, during the term of the agreement and for 12 months after cessation of employment, carry on business in competition with the Group. Zuria Hajar Bt Mohd Adnan is entitled to an annual base salary of US$24,000.</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June 27, 2024, Tan Kim Chuan, our Chief Technological Officer, entered into an Employment Agreement with Sagtec Global Limited. The agreement provides for an annual base salary, together with such additional discretionary bonus. Tan Kim Chuan’s employment will continue indefinitely, subject to termination by either party to the agreement upon 30 days prior written notice or the equivalent salary in lieu of such notice. The agreement also provides that Tan Kim Chuan shall not, during the term of the agreement and for 12 months after cessation of employment, carry on business in competition with the Group. Mr. Tan Kim Chuan is entitled to an annual base salary of US$24,000.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June 27, 2024, Loong Xin Yee, our Chief Operations Officer, entered into an Employment Agreement with Sagtec Global Limited. The agreement provides for an annual base salary, together with such additional discretionary bonus. Loong Xin Yee’s employment will continue indefinitely, subject to termination by either party to the agreement upon 30 days prior written notice or the equivalent salary in lieu of such notice. The agreement also provides that Loong Xin Yee shall not, during the term of the agreement and for 12 months after cessation of employment, carry on business in competition with the Group. Ms. Loong Xin Yee is entitled to an annual base salary of US$24,000.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financial year ended December 31, 2025, we paid an aggregate of approximately RM1,466,899 (USD361,440) in cash to our Executive Directors and Executive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Code of Conduct, Code of Ethics, Insider Trading Policy and Executive Compensation Recovery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(i) a written code of business conduct and ethics and (ii) Insider Trading Policy that applies to our Directors, officers, and employees, including our chief executive officer, chief financial officer, principal accounting officer or controller or persons performing similar functions, and we have also adopted an (iii) Executive Compensation Recovery Policy that applies to our officers, and employees, including our chief executive officer, chief financial officer, principal accounting officer or controller or persons performing similar functions, (collectively the “Policies”). The information on our website is deemed not to be incorporated in this annual report or to be a part of this annual report. We will disclose any amendments to the Policies, and any waivers of the Policies for our Directors, executive officers and senior finance executives, on our website to the extent required by applicable U.S. federal securities laws and the corporate governance rules of Nasdaq. A copy of the Compensation Recovery Policy has been incorporated by reference herewith as Exhibit 97.1.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five directors. A director is not required to hold any shares in our company to qualify to serve as a director. Subject to the rules of the relevant stock exchange and disqualification by the chairman of the board of directors, a director may vote with respect to any contract, proposed contract, or arrangement in which he or she is materially interested. A director may exercise all the powers of the company to borrow money, mortgage its business, property and uncalled capital and issue debentures or other securities whenever money is borrowed or as security for any obligation of the company or of any third party. There are no directors’ service contracts with the Company or its subsidiaries providing for benefits upon termination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under the board of directors, and an investment committee under the management. Our board of directors has adopted a charter for the audit committee, the compensation committee, and the nominating and corporate governance committee. Each committee’s members and functions are described below.</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Mr. Chen, Ms. Lockman and Mr. Soon serve on the audit committee, chaired by Mr. Chen Xiang Foong. Our Board has determined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are “independent” for audit committee purposes as that term is defined by the rules of the SEC and Nasdaq, and that each has sufficient knowledge in financial and auditing matters to serve on the audit committee. Our Board has designated Mr. Chen Xiang Foong as an “audit committee financial expert,” as defined under the applicable rules of the SEC. The audit committee’s responsibilities include:</w:t>
      </w:r>
    </w:p>
    <w:p>
      <w:pPr>
        <w:spacing w:after="0" w:line="180"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Ms. Lockman, Mr. Ng and Mr. Chen serve on the compensation committee, chaired by Ms. Elain binti Lockman. Our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determined that each such member satisfies the “independence” requirements of Rule 5605(a)(2) of the Listing Rules of the Nasdaq Stock Market. The compensation committee’s responsibilities include:</w:t>
      </w:r>
    </w:p>
    <w:p>
      <w:pPr>
        <w:spacing w:after="0" w:line="175"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our company’s corporate goals and objectives and, based on such evaluation:</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recommending to the Board the cash compensation of our chief executive officer, and (ii) reviewing and approving grants and awards to our chief executive officer under equity-based plans;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cash compensation of our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Nominating Committee</w:t>
      </w:r>
      <w:r>
        <w:rPr>
          <w:rFonts w:ascii="Times New Roman" w:cs="Times New Roman" w:eastAsia="Times New Roman" w:hAnsi="Times New Roman"/>
          <w:sz w:val="18"/>
          <w:szCs w:val="18"/>
          <w:color w:val="auto"/>
        </w:rPr>
        <w:t>. Mr. Chen, Ms. Lockman and Mr. Ng serve on the nomination committee, chaired by Mr. Ng Aik Soon. Our Board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each member of the nomination committee is “independent” as defined in the applicable Nasdaq rules. The nomination committee’s responsibilities include:</w:t>
      </w:r>
    </w:p>
    <w:p>
      <w:pPr>
        <w:spacing w:after="0" w:line="175"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criteria for board and committee membership;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Director candidates, including nominees recommended by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to ensure that it is composed of members containing the appropriate skills and expertise to advise us.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have a formal policy regarding board diversity, our nomination committee and Board will consider a broad range of factors relating to the qualifications and background of nominees, which may include diversity (not limited to race, gender or national origin). Our nomination committee’s and Board’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British Virgin Islands law, our directors have a duty to act honestly, in good faith and with a view to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British Virgin Islands. In fulfilling their duty of care to us, our directors must ensure compliance with our memorandum and articles of association, as amended and restated from time to time. Our company has the right to seek damages if a duty owed by our directors is breached. In limited circumstances, a shareholder may have the right to seek damages in our name if a duty owed by the directors is breached.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include, among others:</w:t>
      </w:r>
    </w:p>
    <w:p>
      <w:pPr>
        <w:spacing w:after="0" w:line="207"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are elected by and serve at the discretion of the board. Each director is not subject to a term of office and holds office until such time as his successor takes office or until the earlier of his death, resignation or removal from office by the affirmative vote of a simple majority of the other directors present and voting at a board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Operating Subsidiaries have 22 employees, all of whom are full-time. The Operating Subsidiaries had 20, 19, and 24 employees as of December 31, 2025, 2024 and 2023, respectively. The following table sets out the number of our employees, excluding external experts, categorized by functions: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the date of</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this annual</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report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employees are not covered by collective bargaining agreements. We consider our labor practices and employee relations to be good.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Subsidiaries maintain good working relationships with the employees and that none of them has experienced any significant labor disputes.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Class A Ordinary Shares as of the date of this annual report by:</w:t>
      </w:r>
    </w:p>
    <w:p>
      <w:pPr>
        <w:spacing w:after="0" w:line="162"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beneficially own more than 5% of our outstanding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(including independent directors) and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(including independent directors) and named executive officers as a group.</w:t>
      </w:r>
    </w:p>
    <w:p>
      <w:pPr>
        <w:spacing w:after="0" w:line="2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number and percentage of our Class A Ordinary Shares beneficially owned before the Offering are based 12,550,000 Class A Ordinary Shares as of the date of this annual report. 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sixty</w:t>
      </w:r>
    </w:p>
    <w:p>
      <w:pPr>
        <w:spacing w:after="0" w:line="3" w:lineRule="exact"/>
        <w:rPr>
          <w:sz w:val="20"/>
          <w:szCs w:val="20"/>
          <w:color w:val="auto"/>
        </w:rPr>
      </w:pPr>
    </w:p>
    <w:p>
      <w:pPr>
        <w:jc w:val="both"/>
        <w:ind w:firstLine="8"/>
        <w:spacing w:after="0" w:line="252" w:lineRule="auto"/>
        <w:tabs>
          <w:tab w:leader="none" w:pos="3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through the conversion or exercise of any convertible security, warrant, option or other right. More than one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sixty (60) days, by the sum of the number of shares outstanding as of such date, plus the number of shares as to which such person has the right to acquire voting or investment power within sixty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Lot 6-2, Level 9, Equatorial Plaza, Jalan Sultan Ismail, 50250 Kuala Lumpur, Malaysia.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Power of</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Ownership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Ownership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Class A and</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Ordinary</w:t>
            </w:r>
          </w:p>
        </w:tc>
      </w:tr>
      <w:tr>
        <w:trPr>
          <w:trHeight w:val="27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320" w:type="dxa"/>
            <w:vAlign w:val="bottom"/>
            <w:gridSpan w:val="2"/>
          </w:tcPr>
          <w:p>
            <w:pPr>
              <w:jc w:val="center"/>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Shares</w:t>
            </w:r>
            <w:r>
              <w:rPr>
                <w:rFonts w:ascii="Times New Roman" w:cs="Times New Roman" w:eastAsia="Times New Roman" w:hAnsi="Times New Roman"/>
                <w:sz w:val="29"/>
                <w:szCs w:val="29"/>
                <w:b w:val="1"/>
                <w:bCs w:val="1"/>
                <w:color w:val="auto"/>
                <w:w w:val="91"/>
                <w:vertAlign w:val="superscript"/>
              </w:rPr>
              <w:t>(1)</w:t>
            </w:r>
          </w:p>
        </w:tc>
        <w:tc>
          <w:tcPr>
            <w:tcW w:w="138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3"/>
              </w:rPr>
              <w:t>Shares</w:t>
            </w:r>
            <w:r>
              <w:rPr>
                <w:rFonts w:ascii="Times New Roman" w:cs="Times New Roman" w:eastAsia="Times New Roman" w:hAnsi="Times New Roman"/>
                <w:sz w:val="29"/>
                <w:szCs w:val="29"/>
                <w:b w:val="1"/>
                <w:bCs w:val="1"/>
                <w:color w:val="auto"/>
                <w:w w:val="93"/>
                <w:vertAlign w:val="superscript"/>
              </w:rPr>
              <w:t>(2)</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Shares</w:t>
            </w:r>
            <w:r>
              <w:rPr>
                <w:rFonts w:ascii="Times New Roman" w:cs="Times New Roman" w:eastAsia="Times New Roman" w:hAnsi="Times New Roman"/>
                <w:sz w:val="29"/>
                <w:szCs w:val="29"/>
                <w:b w:val="1"/>
                <w:bCs w:val="1"/>
                <w:color w:val="auto"/>
                <w:w w:val="91"/>
                <w:vertAlign w:val="superscript"/>
              </w:rPr>
              <w:t>(2)</w:t>
            </w:r>
          </w:p>
        </w:tc>
      </w:tr>
      <w:tr>
        <w:trPr>
          <w:trHeight w:val="216"/>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 Chen Lok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6,537,600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80.72%</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Zuria Hajar binti Mohd Adnan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Loong Xin Yee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 Kim Chuan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 binti Lockman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 Aik Soon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 Xiang Foong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(five persons)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Ng Chen Lok</w:t>
            </w:r>
            <w:r>
              <w:rPr>
                <w:rFonts w:ascii="Times New Roman" w:cs="Times New Roman" w:eastAsia="Times New Roman" w:hAnsi="Times New Roman"/>
                <w:sz w:val="29"/>
                <w:szCs w:val="29"/>
                <w:b w:val="1"/>
                <w:bCs w:val="1"/>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6,537,600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80.72%</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Kinetic Seas Incorporated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3,905,000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r>
    </w:tbl>
    <w:p>
      <w:pPr>
        <w:spacing w:after="0" w:line="179" w:lineRule="exact"/>
        <w:rPr>
          <w:sz w:val="20"/>
          <w:szCs w:val="20"/>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Ordinary Shares. All shares represent only the Ordinary Shares held by shareholders as no options are issued or outstanding.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17,850,000 Class A and 2,000,000 Class B Ordinary Shares issued and outstanding as of the date of this annual report. Holders of Class A Ordinary Shares are entitled to one (1) vote per share, while holders of Class B Ordinary Shares are entitled to twenty (20) votes per share.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sum of 6,537,600 Class A Ordinary Shares and 2,000,000 Class B Ordinary Shares held by Ng Chen Lok as of the date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7. M</w:t>
      </w:r>
      <w:r>
        <w:rPr>
          <w:rFonts w:ascii="Times New Roman" w:cs="Times New Roman" w:eastAsia="Times New Roman" w:hAnsi="Times New Roman"/>
          <w:sz w:val="12"/>
          <w:szCs w:val="12"/>
          <w:b w:val="1"/>
          <w:bCs w:val="1"/>
          <w:color w:val="auto"/>
        </w:rPr>
        <w:t>ajor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hareholders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- 6.E.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Employees-6.C. Board Practices-Terms of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adopted an audit committee charter, which requires the committee to review all related-party transactions on an ongoing basis and all such transactions be approved by the committee.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executive officer and director compensation arrangements discussed in “Executive Compensation,” below we describe transactions since January 1, 2021, to which we have been a participant, in which the amount involved in the transaction is material to our company and in which any of the following is a party: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the activities of our Company, including directors and senior management of companies and close members of such individuals’ families; and (e) enterprises in which a substantial interest in the voting power is owned, directly or indirectly, by any person described in (c) or (d) or over which such a person is able to exercise significant influence.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Company as of December 31, 2025, 2024 and 2023, and as of April 15,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relationships with related parties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85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Relationship to the Company</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Ng Chen Lok</w:t>
            </w:r>
          </w:p>
        </w:tc>
        <w:tc>
          <w:tcPr>
            <w:tcW w:w="100" w:type="dxa"/>
            <w:vAlign w:val="bottom"/>
            <w:tcBorders>
              <w:top w:val="single" w:sz="8" w:color="CCEEFF"/>
            </w:tcBorders>
            <w:shd w:val="clear" w:color="auto" w:fill="CCEEFF"/>
          </w:tcPr>
          <w:p>
            <w:pPr>
              <w:spacing w:after="0"/>
              <w:rPr>
                <w:sz w:val="18"/>
                <w:szCs w:val="18"/>
                <w:color w:val="auto"/>
              </w:rPr>
            </w:pPr>
          </w:p>
        </w:tc>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Director, and Chief Executive Officer of the Company</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Yong Avon</w:t>
            </w: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of the Company</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Yap Kee Wai</w:t>
            </w: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Sagtec Group Sdn Bhd &amp; Sagfood (Malaysia) Sdn Bhd</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Yong Jenny</w:t>
            </w: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of Sagtec Group Sdn Bhd, CL Technologies (International) Sdn Bhd &amp; Sagfood (Malaysia) Sdn Bhd</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Yong Chen Wah</w:t>
            </w: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CL Technologies (International) Sdn Bhd &amp; Sagfood (Malaysia) Sdn Bhd</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 Prominent Sdn Bhd</w:t>
            </w: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of Sagtec Group Sdn Bhd &amp; Sagfood (Malaysia) Sdn Bhd</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Capa Group Sdn Bhd</w:t>
            </w: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Sagtec Group Sdn Bhd &amp; Sagfood (Malaysia) Sdn Bhd</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Sagfood Express</w:t>
            </w: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An entity controlled by our Executive Director, and Chief Executive Officer Mr. Ng Chen Lok</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Kinetic Seas Incorporated</w:t>
            </w: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the Company</w:t>
            </w:r>
          </w:p>
        </w:tc>
      </w:tr>
      <w:tr>
        <w:trPr>
          <w:trHeight w:val="655"/>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color w:val="auto"/>
              </w:rPr>
              <w:t>70</w:t>
            </w:r>
          </w:p>
        </w:tc>
      </w:tr>
    </w:tbl>
    <w:p>
      <w:pPr>
        <w:sectPr>
          <w:pgSz w:w="11900" w:h="16838" w:orient="portrait"/>
          <w:cols w:equalWidth="0" w:num="1">
            <w:col w:w="11240"/>
          </w:cols>
          <w:pgMar w:left="320" w:top="873" w:right="339" w:bottom="1440" w:gutter="0" w:footer="0" w:header="0"/>
        </w:sectPr>
      </w:pPr>
    </w:p>
    <w:bookmarkStart w:id="76" w:name="page77"/>
    <w:bookmarkEnd w:id="76"/>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related party transactions of the Group for the period January 1, 2024 to April 15, 2026 and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From</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2025 to</w:t>
            </w:r>
          </w:p>
        </w:tc>
        <w:tc>
          <w:tcPr>
            <w:tcW w:w="1140" w:type="dxa"/>
            <w:vAlign w:val="bottom"/>
          </w:tcPr>
          <w:p>
            <w:pPr>
              <w:spacing w:after="0"/>
              <w:rPr>
                <w:sz w:val="18"/>
                <w:szCs w:val="18"/>
                <w:color w:val="auto"/>
              </w:rPr>
            </w:pPr>
          </w:p>
        </w:tc>
        <w:tc>
          <w:tcPr>
            <w:tcW w:w="288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April 15,</w:t>
            </w:r>
          </w:p>
        </w:tc>
        <w:tc>
          <w:tcPr>
            <w:tcW w:w="1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vMerge w:val="continue"/>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760"/>
              <w:spacing w:after="0" w:line="194" w:lineRule="exact"/>
              <w:rPr>
                <w:sz w:val="20"/>
                <w:szCs w:val="20"/>
                <w:color w:val="auto"/>
              </w:rPr>
            </w:pPr>
            <w:r>
              <w:rPr>
                <w:rFonts w:ascii="Times New Roman" w:cs="Times New Roman" w:eastAsia="Times New Roman" w:hAnsi="Times New Roman"/>
                <w:sz w:val="18"/>
                <w:szCs w:val="18"/>
                <w:b w:val="1"/>
                <w:bCs w:val="1"/>
                <w:color w:val="auto"/>
              </w:rPr>
              <w:t>USD</w:t>
            </w:r>
          </w:p>
        </w:tc>
        <w:tc>
          <w:tcPr>
            <w:tcW w:w="98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RM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w:t>
            </w:r>
          </w:p>
        </w:tc>
        <w:tc>
          <w:tcPr>
            <w:tcW w:w="2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(Audited)</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(Audited)</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(Audited)</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(Audited)</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620" w:type="dxa"/>
            <w:vAlign w:val="bottom"/>
            <w:shd w:val="clear" w:color="auto" w:fill="CCEEFF"/>
          </w:tcPr>
          <w:p>
            <w:pPr>
              <w:ind w:left="20"/>
              <w:spacing w:after="0" w:line="284" w:lineRule="exact"/>
              <w:rPr>
                <w:sz w:val="20"/>
                <w:szCs w:val="20"/>
                <w:color w:val="auto"/>
              </w:rPr>
            </w:pPr>
            <w:r>
              <w:rPr>
                <w:rFonts w:ascii="Times New Roman" w:cs="Times New Roman" w:eastAsia="Times New Roman" w:hAnsi="Times New Roman"/>
                <w:sz w:val="18"/>
                <w:szCs w:val="18"/>
                <w:color w:val="auto"/>
              </w:rPr>
              <w:t>Sale of goods and/or services to related parties</w:t>
            </w:r>
            <w:r>
              <w:rPr>
                <w:rFonts w:ascii="Times New Roman" w:cs="Times New Roman" w:eastAsia="Times New Roman" w:hAnsi="Times New Roman"/>
                <w:sz w:val="29"/>
                <w:szCs w:val="29"/>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4,988,468</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ind w:left="20"/>
              <w:spacing w:after="0" w:line="296" w:lineRule="exact"/>
              <w:rPr>
                <w:sz w:val="20"/>
                <w:szCs w:val="20"/>
                <w:color w:val="auto"/>
              </w:rPr>
            </w:pPr>
            <w:r>
              <w:rPr>
                <w:rFonts w:ascii="Times New Roman" w:cs="Times New Roman" w:eastAsia="Times New Roman" w:hAnsi="Times New Roman"/>
                <w:sz w:val="18"/>
                <w:szCs w:val="18"/>
                <w:color w:val="auto"/>
              </w:rPr>
              <w:t>Payments made on behalf by director</w:t>
            </w:r>
            <w:r>
              <w:rPr>
                <w:rFonts w:ascii="Times New Roman" w:cs="Times New Roman" w:eastAsia="Times New Roman" w:hAnsi="Times New Roman"/>
                <w:sz w:val="29"/>
                <w:szCs w:val="29"/>
                <w:color w:val="auto"/>
                <w:vertAlign w:val="superscript"/>
              </w:rPr>
              <w:t>(2)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46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vMerge w:val="restart"/>
            <w:shd w:val="clear" w:color="auto" w:fill="CCEEFF"/>
          </w:tcPr>
          <w:p>
            <w:pPr>
              <w:ind w:left="20"/>
              <w:spacing w:after="0" w:line="277" w:lineRule="exact"/>
              <w:rPr>
                <w:sz w:val="20"/>
                <w:szCs w:val="20"/>
                <w:color w:val="auto"/>
              </w:rPr>
            </w:pPr>
            <w:r>
              <w:rPr>
                <w:rFonts w:ascii="Times New Roman" w:cs="Times New Roman" w:eastAsia="Times New Roman" w:hAnsi="Times New Roman"/>
                <w:sz w:val="18"/>
                <w:szCs w:val="18"/>
                <w:color w:val="auto"/>
              </w:rPr>
              <w:t>Employee benefit expenses charged from related parties</w:t>
            </w:r>
            <w:r>
              <w:rPr>
                <w:rFonts w:ascii="Times New Roman" w:cs="Times New Roman" w:eastAsia="Times New Roman" w:hAnsi="Times New Roman"/>
                <w:sz w:val="29"/>
                <w:szCs w:val="29"/>
                <w:color w:val="auto"/>
                <w:vertAlign w:val="superscript"/>
              </w:rPr>
              <w:t>(3)</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20" w:type="dxa"/>
            <w:vAlign w:val="bottom"/>
            <w:vMerge w:val="continue"/>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line="201" w:lineRule="exact"/>
              <w:rPr>
                <w:sz w:val="20"/>
                <w:szCs w:val="20"/>
                <w:color w:val="auto"/>
              </w:rPr>
            </w:pPr>
            <w:r>
              <w:rPr>
                <w:rFonts w:ascii="Times New Roman" w:cs="Times New Roman" w:eastAsia="Times New Roman" w:hAnsi="Times New Roman"/>
                <w:sz w:val="18"/>
                <w:szCs w:val="18"/>
                <w:color w:val="auto"/>
              </w:rPr>
              <w:t>Selling and administrative expenses charged from related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6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4620" w:type="dxa"/>
            <w:vAlign w:val="bottom"/>
          </w:tcPr>
          <w:p>
            <w:pPr>
              <w:ind w:left="200"/>
              <w:spacing w:after="0" w:line="312" w:lineRule="exact"/>
              <w:rPr>
                <w:sz w:val="20"/>
                <w:szCs w:val="20"/>
                <w:color w:val="auto"/>
              </w:rPr>
            </w:pPr>
            <w:r>
              <w:rPr>
                <w:rFonts w:ascii="Times New Roman" w:cs="Times New Roman" w:eastAsia="Times New Roman" w:hAnsi="Times New Roman"/>
                <w:sz w:val="18"/>
                <w:szCs w:val="18"/>
                <w:color w:val="auto"/>
              </w:rPr>
              <w:t>parties</w:t>
            </w:r>
            <w:r>
              <w:rPr>
                <w:rFonts w:ascii="Times New Roman" w:cs="Times New Roman" w:eastAsia="Times New Roman" w:hAnsi="Times New Roman"/>
                <w:sz w:val="29"/>
                <w:szCs w:val="29"/>
                <w:color w:val="auto"/>
                <w:vertAlign w:val="superscript"/>
              </w:rPr>
              <w:t>(4)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revenue from subscription services, software consultation and development services, food catering, restaurant and sale of foods, power bank charging station and food ordering kiosk with screen. These services were provided to shareholders, SM Prominent Sdn Bhd and Capa Group Sdn Bhd, as well as to companies with common shareholders, Sagtec Express.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 Chen Lok, our Executive Director, and Chief Executive Officer, has advanced to the company for our operations. As of the date of annual report, all advances have been fully repaid, and there is no outstanding balance.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staff refreshment charges by Sagfood Express, as well as allowances paid to Yong Avon and Ng Chen Lok.</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food supplied by Sagfood Express for company events, development fees charged by Yap Kee Wai for the planning, creation and implementation of software development projects and marketing and promotion fees charged by Yong Jenny and Yong Chen Wah for advertisement on Facebook, Google and other social media platforms.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18.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our business. We are currently not a party to any pending any material legal or administrative proceedings and are not aware of any events that are likely to lead to any such proceedings.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15, 2026, Helena Global Investment Opportunities I Ltd. (“Helena”) filed a complaint against Sagtec Global Limited in the Supreme Court of the State of New York, County of New York (the “Complaint”), alleging claims arising out of a purchase agreement entered into between the parties dated July 11, 2025. On March 20, 2026, the Company entered into a Confidential Settlement Agreement and Mutual General Release (the “Settlement Agreement”) with Helena to resolve a dispute arising from the Action. Pursuant to the Settlement Agreement, and without any admission of liability by either party, the parties agreed to fully and finally resolve all claims relating to the Complaint.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are not a party to, and we are not aware of any threat of, any legal proceeding that, in the opinion of our management, is likely to have a material adverse effect on our business, financial condition or operations, nor have we experienced any incident of non-compliance which, in the opinion of our directors, is likely to materially and adversely affect our business, financial condition or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“Item 3. Key Information - 3.D. Risk Factors-Risks Relating to Our Business and Industry-</w:t>
      </w:r>
      <w:r>
        <w:rPr>
          <w:rFonts w:ascii="Times New Roman" w:cs="Times New Roman" w:eastAsia="Times New Roman" w:hAnsi="Times New Roman"/>
          <w:sz w:val="18"/>
          <w:szCs w:val="18"/>
          <w:i w:val="1"/>
          <w:iCs w:val="1"/>
          <w:color w:val="auto"/>
        </w:rPr>
        <w:t>Regulatory actions, legal proceedings and customer complaints against us could harm our reputation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have a material adverse effect on our business, results of operations, financial condition and prospects. Our directors, management, shareholders and employees may also from time to time be subject to legal proceedings, which could adversely affect our reputation and results of operations</w:t>
      </w:r>
      <w:r>
        <w:rPr>
          <w:rFonts w:ascii="Times New Roman" w:cs="Times New Roman" w:eastAsia="Times New Roman" w:hAnsi="Times New Roman"/>
          <w:sz w:val="18"/>
          <w:szCs w:val="18"/>
          <w:color w:val="auto"/>
        </w:rPr>
        <w:t>” and “Item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Key Information - 3.D. Risk Factors-Risks Relating to Our Business and Industry- </w:t>
      </w:r>
      <w:r>
        <w:rPr>
          <w:rFonts w:ascii="Times New Roman" w:cs="Times New Roman" w:eastAsia="Times New Roman" w:hAnsi="Times New Roman"/>
          <w:sz w:val="18"/>
          <w:szCs w:val="18"/>
          <w:i w:val="1"/>
          <w:iCs w:val="1"/>
          <w:color w:val="auto"/>
        </w:rPr>
        <w:t>We may be subject to intellectual property infringement claims.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no plans to distribute dividends in the foreseeable future, in the event we consider distributing a dividend in the future, our Board shall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may consider relevant.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regarding whether to declare or pay dividends. All dividends are subject to certain restrictions under BVI law and the Company’s Memorandum and Articles of Association, namely that: (a) all dividends must be authorized by board resolutions, by which our board of directors may authorize a distribution at any time and in any amount they think fit and set a record date (which may be before or after the date on which the board resolutions are passed) for determining the shareholders to be paid; (b) our board of directors may only authorize payment of a dividend if they are satisfied (on reasonable grounds) that the value of the Company’s assets exceeds its liabilities and the Company is able to pay its debts as they fall due (the “Solvency Test”) immediately paying the dividend; and (c) if, after a dividend is authorized (but before it is paid), our board of directors cease to be satisfied (on reasonable grounds) that the Company will be able to satisfy the Solvency Test after the dividend is paid, then such dividend is deemed not to have been authorized. A distribution made to a shareholder at a time when the Company did not, immediately after the distribution, satisfy the Solvency Test may be recovered by the Company from the member unless (a) the member received the distribution in good faith and without knowledge of the Company’s failure to satisfy the Solvency Test; (b) the member has altered his or her position in reliance on the validity of the distribution; and (c) it would be unfair to require repayment in full or at all.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will notify each shareholder of any dividend authorized by them and no interest accrues on any dividend. If a shareholder fails to claim any dividend for three years after the date on which it was authorized by the directors, the directors may decide by a resolution of directors that the dividend is forfeited for the benefit of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our Board decides to pay dividends, the form, frequency and amount will depend upon our future operations and earnings, capital requirements and surplus, general financial condition, contractual restrictions and other factors that the Board may deem relevant. In addition, we are a holding company and depend on the receipt of dividends and other distributions from our subsidiaries to pay dividends on our Class A Ordinary Share and Class B Ordinary Shares in accordance with the Company's Memorandum and Articles of Association.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dividends on our shares, if any, will be paid in U.S.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9.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ffer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 and listing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“SAGT.”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10.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summaries of the material provisions of our amended and restated memorandum and articles of association and the Companies Act, insofar as they relate to the material terms of our Class A Ordinary Shares. They do not purport to be complete. Reference is made to our amended and restated memorandum and articles of association, a copy of which is filed as an exhibit to the annual report (and which is referred to in this section as, respectively, the “memorandum” and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only issue registered shares. Subject to the Company’s Memorandum and Articles of Association, the Company may issue fractions of shares, bonus shares, redeemable shares and may redeem, purchase or otherwise acquire, any of its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Companies Act and the Company’s Memorandum and Articles of Association, the unissued shares may be issued, and options to acquire shares may be granted, at any time, to any persons (whether or not shareholders), for any consideration and on any terms, the directors decide by a resolution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 is taken to be issued when the name of the holder is entered in the Company’s register of shareholders as the holder of the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Class A Ordinary Shares are entitled to such dividends or other distributions as may be authorized by our Directors by way of a simple majority decision, subject to the Companies Act and our 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Memorandum and Articles of Association, each Class A Ordinary Share confers on the holder (i) the right to an equal share in any distribution paid by the Company in accordance with the Companies Act and the articles and (ii) an equal share on the distribution of any surplus assets of the Company on its liquidation.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Amended and Restated Memorandum and Articles of Association, each Class B Ordinary Share confers on the holder (i) the right to an equal share in any distribution paid by the Company in accordance with the Companies Act and the articles and (ii) an equal share on the distribution of any surplus assets of the Company on its liquidation.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Memorandum and Articles of Association, each Class A Ordinary Share confers on the holder the right to one (1) vote at a meeting of the shareholders or on any resolution of shareholders, and each Class B Ordinary Share confers on the holder the right to twenty (20) votes at a meeting of the shareholders or on any resolution of shareholders.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Company’s Memorandum and Articles of Association, a resolution put to a vote at a meeting of shareholders or an annual general meeting (“AGM”), will (in most cases) be passed and become a resolution of shareholders if it is passed by a simple majority of the votes cast in respect of the resolution, at a valid meeting of shareholders (or class of shareholders), by shareholders present (in person or by proxy) at the meeting who are entitled to vote on the resolution. Any action that may be taken by the shareholders at a meeting of shareholders (or class of shareholders) may also be taken by the shareholders (or class of shareholders) passing a written resolution of shareholders without the need for any prior notice to be given. A written resolution of shareholders is passed if signed or consented to (including by way of fax or email) by shareholders (or shareholders of the relevant class) who hold shares carrying a simple majority of the votes that may be cast in respect of the resolution who are entitled to vote on the resolution.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fraction of a share confers on the holder the rights, obligations and liabilities of a whole share of the same class corresponding to the fraction other than the right to vote. If the holder of a fraction of a share acquires a further fraction of a share of the same class, the fractions will be treated as being consolidated.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Company has different classes of shares in issue, unless the rights attaching to a class of shares state otherwise, the rights attached to that class may only be varied, whether the Company is a going concern or is being liquidated:</w:t>
      </w:r>
    </w:p>
    <w:p>
      <w:pPr>
        <w:spacing w:after="0" w:line="16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holders of the majority of the issued shares of that class;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resolution of shareholders of that class;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clause 6.3 (Automatic conversion of B Shares) of the Company's Memorandum and Articles of Association;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clause 6.4 (Voluntary conversion of B Shares) of the Company's Memorandum and Articles of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not varied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Company's Memorandum and Articles of Association, the rights conferred on the holders of any class of shares issued with preferred or other rights will not (unless the rights attaching to the shares of that class expressly state otherwise) be treated as being varied by the creation or issue of further shares ranking after or equally with the shares of that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director of the Company or the Chairman may call a meeting of shareholders (or a class of shareholders) if they decide to, and must call a meeting of shareholders (or a class of shareholders) if they are requested to do so in writing by shareholders entitled to exercise at least 30% of voting rights in respect of the matter for which the meeting is requested.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hold a meeting of the shareholders in accordance with the Company’s Memorandum and Articles of Association, the Companies Act and Nasdaq listing rules.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quorum is present at a meeting of shareholders or an AGM if one or more shareholders, who hold shares that carry not less than one third percent of the voting rights of all shares then in issue, are present in person or by proxy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285"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Where a quorum is not present within half an hour of the time set for the start of the meeting, if the meeting was called: (i) at the request of shareholders in accordance with the Companies Act or the Company’s Memorandum and Articles of Association, it will be dissolved; or (ii) by the directors, the meeting will be adjourned to the following day and be held at the same time and place or any other date, time and/or place the directors decide by a resolution of directors.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chairman of a meeting of shareholders or an AGM: (i) may, with the consent of the shareholders present (in person or by proxy); and (ii) must, if directed to do so by a resolution of shareholders, adjourn the meeting to another date, time and/or place. In addition, the chairman of the meeting may, at any time without the consent of the shareholders present (in person or by proxy), adjourn the meeting (whether or not it has commenced or a quorum is present) to another date, time and/or place if the chairman considers that it would facilitate the conduct of the business of the meeting to do so. Nothing in the Company’s Memorandum and Articles of Association limits any other power vested in the chairman of the meeting to adjourn the meeting. No business may be conducted at any adjourned meeting other than the business which might have been conducted at the meeting from which the adjournment took place.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minority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would normally expect BVI courts to follow English case law precedents, which would permit a minority shareholder to commence a representative action, or derivative actions in our name, to challenge (1) an act which is ultra vires or illegal, (2) an act which constitutes a fraud against the minority by parties in control of us, (3) an infringement of individual rights of the minority shareholders, (such as the right to vote), and (4) an irregularity in the passing of a resolution which requires a special or extraordinary majority of the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British Virgin Islands law provides certain shareholder remedies for a minority shareholder whose rights have been breached or who disagrees with the way the Company is being managed. These remedies include an action for unfair prejudice and a derivative 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pre-emptive rights applicable to the issue of the Company’s Class A Ordinary Shares or Class B Ordinary Shares under either British Virgin Islands law or our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Ordinary Shares listed on the Nasdaq Capital Market may be transferred without the need for a written instrument of transfer if the transfer is carried out in accordance with the laws, rules, procedures and other requirements applicable to shares listed on the Nasdaq Capital Market (including, but not limited to, the applicable Nasdaq listing rules). The transfer of an Class A Ordinary Share is only effective once the name of the transferee is entered in the register of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B Ordinary Shares are not transferrable, and no Class B Ordinary Share may be transferred by a shareholder to any person at any time, save where such transfer is made (i) pursuant to any share surrender, repurchase or redemption or (ii) to a privileged relation (in relation to a holder of Class B Ordinary Shares, his, her or its spouse, children and grandchildren (including step and adopted children and grandchildren) and their legal successors of the holder, a company or other entity over which that holder has control, or a trust set up wholly for the benefit of the holder) or the privileged relations of that holder, in each case in accordance with the Memorandum and Articles of Association.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Automatic conversion of B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Class B Ordinary Share that is transferred, assigned, transmitted or otherwise disposed of to a person who is not, immediately prior to such transaction, a holder of a Class B Ordinary Share or a permitted transferee shall automatically convert into a Class A Ordinary Share immediately before the transfer takes effect, without requiring the consent of the Class B Ordinary Share, with such transfer being effective only upon registration in the Company’s register of shareholders; provided that the granting of any pledge, charge, encumbrance or other third-party right over a Class B Ordinary Share shall not constitute a transfer unless, and until it is enforced and results in a third party acquiring legal title to the share, in which case the relevant Class B Ordinary Share shall convert to Class A Ordinary Share on a one-for-one basis, and further provided that any Class B Ordinary Share held by a permitted transferee shall similarly and automatically convert into an Class A Ordinary Share on a one-for-one basis, without consent, at the time such holder ceases to qualify as a permitted transferee.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Memorandum and Articles of Association and the rights attaching to any class of shares, our directors may make calls on a shareholder for any amount of the issue price of the shareholder’s shares that has not been paid to the Company. A call must be made by giving at least 14 days’ written notice of call to the shareholder. A call may be made payable in instalments. The directors may postpone a call or revoke it (in whole or part). A call is taken to have been made at the time the resolution of directors to make the call is passed.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Companies Act, holders of our shares are entitled, upon giving written notice to us, to inspect (i) our Memorandum and Articles of Association,</w:t>
      </w:r>
    </w:p>
    <w:p>
      <w:pPr>
        <w:spacing w:after="0" w:line="27" w:lineRule="exact"/>
        <w:rPr>
          <w:sz w:val="20"/>
          <w:szCs w:val="20"/>
          <w:color w:val="auto"/>
        </w:rPr>
      </w:pPr>
    </w:p>
    <w:p>
      <w:pPr>
        <w:jc w:val="both"/>
        <w:ind w:firstLine="8"/>
        <w:spacing w:after="0" w:line="255" w:lineRule="auto"/>
        <w:tabs>
          <w:tab w:leader="none" w:pos="2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register of shareholders, (iii) our register of directors and (iv) minutes of meetings and resolutions of our shareholders, and to make copies and take extracts from these documents and records. However, our directors can refuse access if they are satisfied that to allow such access would be contrary to our interests.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17"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described in this annual report, we have not entered into any material agreements other than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our subsidiaries to pay dividends or make other payments to us may be restricted by exchange control policies in the countries where we operate. There are foreign exchange policies in Malaysia which support the monitoring of capital flows into and out of the country in order to preserve its financial and economic stability. The foreign exchange policies are administered by the Foreign Exchange Administration, an arm of the Bank Negara Malaysia (the Central Bank of Malaysia) (“BNM”). The foreign exchange policies monitor and regulate both residents and non-residents of Malaysia. Under the current Foreign Exchange Administration rules issued by BNM, nonresidents are free to repatriate any amount of funds from Malaysia in foreign currency other than the currency of Israel at any time (subject to limited exceptions), including capital, divestment proceeds, profits, dividends, rental, fees and interest arising from investment in Malaysia, subject to any withholding tax. In the event BNM or any other country where we operate introduces any restrictions in the future, our ability to repatriate dividends or other payments from our subsidiaries in Malaysia or in such other countries may be affected. Since we are a BVI holding company and rely principally on dividends and other payments from our subsidiaries for our cash requirements, any restrictions on such dividends or other payments could materially and adversely affect our liquidity,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Islands 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shares in a BVI company who is not a resident of the BVI is not required to pay tax in the BVI on (i) dividends paid with respect to the shares, or (ii) any gains realized during that year on sale or disposal of such shares, provided the BVI company does not have a direct or indirect interest in any land in the BVI. The laws of the BVI does not impose a withholding tax on dividends paid by a company incorporated or re-registered under the Companies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capital gains, gift or inheritance taxes levied by the BVI government on companies incorporated or re-registered under the Companies Act. In addition, shares of companies incorporated or re-registered under the Companies Act are not subject to transfer taxes, stamp duties or similar charges, provided the company does not have a direct or indirect interest in any land in the BVI.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income tax treaty currently in effect between the United States and the BVI, however, the BVI has entered into multiple information-exchange arrangements with the United States, including the Multilateral Competent Authority Agreement on Automatic Exchange of Financial Account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laws of BVI, our company is not subject to tax on income or capital gains.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Malaysia Tax Considerations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brief description of Malaysian enterprise income taxation is designed to highlight the enterprise-level taxation on our earnings, which will affect the amount of dividends, if any, we are ultimately able to pay to our shareholders. See “Dividends and Dividend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in Malaysia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legislation that governs a person’s income tax in Malaysia is the Income Tax Act 1967 (the “ITA”). The regulatory body implementing and enforcing the ITA is the Inland Revenue Board of Malaysia (“IRB”). Pursuant to Section 3 of the ITA, income tax shall be charged for each year of assessment (“YA”) upon the income of any person accruing in or derived from Malaysia or received in Malaysia from outside Malaysia.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8 of the ITA, a company is a tax resident in Malaysia if its management and control are exercised in Malaysia. Management and control are normally considered to be exercised at the place where the directors’ meetings concerning management and control of the company are held. The income tax rate payable by a resident company differs depending on the amount of the company’s paid-up capital and its annual sale in relation to the particular YA. The corporate income tax rates are as illustrated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Chargeable</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Tax rate</w:t>
            </w:r>
          </w:p>
        </w:tc>
      </w:tr>
      <w:tr>
        <w:trPr>
          <w:trHeight w:val="245"/>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Types of Company</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YA 2024</w:t>
            </w:r>
          </w:p>
        </w:tc>
      </w:tr>
      <w:tr>
        <w:trPr>
          <w:trHeight w:val="216"/>
        </w:trPr>
        <w:tc>
          <w:tcPr>
            <w:tcW w:w="8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Resident company:</w:t>
            </w: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8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with paid-up capital of 2.5 million Malaysian ringgit (MYR) or less, and gross income from business of not</w:t>
            </w:r>
          </w:p>
        </w:tc>
        <w:tc>
          <w:tcPr>
            <w:tcW w:w="14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On the first</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more than MYR 50 million</w:t>
            </w: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RM150,000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198"/>
        </w:trPr>
        <w:tc>
          <w:tcPr>
            <w:tcW w:w="8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that does not control, directly or indirectly, another company that has paid-up capital of more than MYR 2.5</w:t>
            </w:r>
          </w:p>
        </w:tc>
        <w:tc>
          <w:tcPr>
            <w:tcW w:w="14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RM150,001 to</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million</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RM600,000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198"/>
        </w:trPr>
        <w:tc>
          <w:tcPr>
            <w:tcW w:w="8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is not controlled, directly or indirectly, by another company that has paid-up capital of more than MYR 2.5</w:t>
            </w:r>
          </w:p>
        </w:tc>
        <w:tc>
          <w:tcPr>
            <w:tcW w:w="14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RM600,001 and</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million, and</w:t>
            </w: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Subsequent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bl>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no more than 20% of its paid-up capital being owned, directly or indirectly, by a foreign company or non-</w:t>
      </w:r>
    </w:p>
    <w:tbl>
      <w:tblPr>
        <w:tblLayout w:type="fixed"/>
        <w:tblInd w:w="340" w:type="dxa"/>
        <w:tblCellMar>
          <w:top w:w="0" w:type="dxa"/>
          <w:left w:w="0" w:type="dxa"/>
          <w:bottom w:w="0" w:type="dxa"/>
          <w:right w:w="0" w:type="dxa"/>
        </w:tblCellMar>
      </w:tblPr>
      <w:tr>
        <w:trPr>
          <w:trHeight w:val="20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Malaysian citizen (with effect from year of assessment 2024)</w:t>
            </w:r>
          </w:p>
        </w:tc>
        <w:tc>
          <w:tcPr>
            <w:tcW w:w="3400" w:type="dxa"/>
            <w:vAlign w:val="bottom"/>
          </w:tcPr>
          <w:p>
            <w:pPr>
              <w:spacing w:after="0"/>
              <w:rPr>
                <w:sz w:val="17"/>
                <w:szCs w:val="17"/>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Company other than the above category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ITA, a non-resident company - namely, a company whose management and control are not exercised in Malaysia and thus does not fall under the purview of Section 8 of the ITA - is subject to the following tax rates: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Types of Income</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Rate (%)</w:t>
            </w:r>
          </w:p>
        </w:tc>
      </w:tr>
      <w:tr>
        <w:trPr>
          <w:trHeight w:val="216"/>
        </w:trPr>
        <w:tc>
          <w:tcPr>
            <w:tcW w:w="10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income.</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Royalties derived from Malaysia.</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of moveable properties.</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Advice, assistance, or services rendered in Malaysia.</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Exempt</w:t>
            </w:r>
          </w:p>
        </w:tc>
      </w:tr>
      <w:tr>
        <w:trPr>
          <w:trHeight w:val="216"/>
        </w:trPr>
        <w:tc>
          <w:tcPr>
            <w:tcW w:w="10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6" w:lineRule="exact"/>
        <w:rPr>
          <w:sz w:val="20"/>
          <w:szCs w:val="20"/>
          <w:color w:val="auto"/>
        </w:rPr>
      </w:pPr>
    </w:p>
    <w:p>
      <w:pPr>
        <w:jc w:val="both"/>
        <w:ind w:left="460" w:hanging="444"/>
        <w:spacing w:after="0" w:line="284" w:lineRule="auto"/>
        <w:rPr>
          <w:sz w:val="20"/>
          <w:szCs w:val="20"/>
          <w:color w:val="auto"/>
        </w:rPr>
      </w:pPr>
      <w:r>
        <w:rPr>
          <w:rFonts w:ascii="Times New Roman" w:cs="Times New Roman" w:eastAsia="Times New Roman" w:hAnsi="Times New Roman"/>
          <w:sz w:val="18"/>
          <w:szCs w:val="18"/>
          <w:i w:val="1"/>
          <w:iCs w:val="1"/>
          <w:color w:val="auto"/>
        </w:rPr>
        <w:t>Note: Where the recipient is resident in a country that has a double tax agreement with Malaysia, the tax rates for the specific sources of income may be reduced.</w:t>
      </w:r>
    </w:p>
    <w:p>
      <w:pPr>
        <w:spacing w:after="0" w:line="158" w:lineRule="exact"/>
        <w:rPr>
          <w:sz w:val="20"/>
          <w:szCs w:val="20"/>
          <w:color w:val="auto"/>
        </w:rPr>
      </w:pPr>
    </w:p>
    <w:p>
      <w:pPr>
        <w:ind w:left="5540" w:right="4080" w:hanging="5532"/>
        <w:spacing w:after="0" w:line="785" w:lineRule="auto"/>
        <w:tabs>
          <w:tab w:leader="none" w:pos="338"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paid to a non-resident by a bank or a finance company in Malaysia is exempt from tax. </w:t>
      </w: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Foreign-Sourced Income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Malaysia adopts a territorial principle of taxation, under which only income accruing in or derived from or received in Malaysia from outside Malaysia is subject to income tax in Malaysia pursuant to Section 3 of the ITA. Previously, “income received in Malaysia from outside Malaysia” or “foreign-sourced income” (“FSI”) received by Malaysian taxpayers is not taxable due to the availability of tax exemption under Paragraph 28, Schedule 6 of the ITA (“Para 28”). This exemption is applicable to any person other than a resident company carrying on the business of banking, insurance, or sea or air transport, in respect of income derived from sources outside Malaysia and received in Malaysia, pursuant to Para 28. On October 29, 2021, however, the Malaysian government announced via the Budget 2022 that the exemption under Para 28 will no longer be applicable to tax residents, effective from January 1, 2022. Therefore, income tax will be imposed on resident persons in Malaysia on income derived from foreign sources and received in Malaysia with effect from January 1, 2022. Such income will be treated equally vis-à-vis income accruing in or derived from Malaysia and taxable under Section 3 of the ITA.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the tax treatments for the income of a person in Malaysia are depicted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from</w:t>
            </w:r>
          </w:p>
        </w:tc>
      </w:t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Derived From</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Received In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January 1, 2022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January 1, 2022</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4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Taxable</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Taxable</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Malaysia from outside Malaysia</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Taxable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Taxable</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Overseas</w:t>
            </w:r>
          </w:p>
        </w:tc>
        <w:tc>
          <w:tcPr>
            <w:tcW w:w="4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Malaysia from outside Malaysia</w:t>
            </w: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Tax Exempted</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Taxable</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Overseas</w:t>
            </w:r>
          </w:p>
        </w:tc>
        <w:tc>
          <w:tcPr>
            <w:tcW w:w="4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Overseas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Tax Exempted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Tax Exempted</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16, 2021, the IRB announced the Special Income Remittance Program (“SIRP”) for Malaysian tax residents whose income is derived from foreign sources and received in Malaysia. The implementation of taxation on FSI is staggered into the following two timelines, depending on the timing of remittance of FSI into Malaysia: (i) during the period from January 1 to June 30, 2022 (six months) (the “SIRP Period”), FSI remitted shall be taxed at a fixed rate of 3% on the gross amount of income remitted; and (ii) on or after July 1, 2022, FSI remitted shall be taxed at the prevailing tax rate applicable to tax residents on the statutory income, namely, gross FSI less expenses attributable to the FSI. FSI remitted under the SIRP will be accepted in good faith by the IRB as the IRB will not conduct an audit or investigation on the taxpayer. In addition, the IRB will not impose any penalty on FSI remitted during the SIRP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implementation of taxation on FSI, the Malaysian Ministry of Finance announced on December 30, 2021 that exemption from income tax would be available for a period of five years on certain categories of FSI received by Malaysian tax residents, when certain qualifying conditions are met. Specifically, (i) for individuals excluding those carrying on business in Malaysia through a partnership, all categories of FSI are exempted; and (ii) for companies and limited liability partnerships, foreign-sourced dividend income is exempted. To legislate the above, the following Orders were gazetted on 19 July 2022 and are effective from January 1, 2022 to December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Distribution and Withholding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holding company incorporated as a business company in the British Virgin Islands and we gain substantial income by way of dividends to be paid to us from Sagtec Group Sdn Bhd and CL Technologies (International) Sdn Bhd (Malaysia), our direct subsidiary company in Malaysia.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Malaysia is under the single-tier tax system, under which income tax imposed on a company’s chargeable income is a final tax, and dividends distributed are exempt from tax in the hands of the shareholders pursuant to Section 108 of the ITA. As such, companies are not required to deduct tax from dividends paid to shareholders, and no tax credits will be available to offset against the recipient’s tax liability. Corporate shareholders receiving exempt single-tier dividends can, in turn, distribute such dividends to their own shareholders, who are also exempt on such receipts. In addition, while Malaysia imposes withholding tax on certain payments, such as interest, royalties, contract payments, and special classes of income, Malaysia does not do so on dividends in addition to tax on the profits out of which the dividends are declared. Such position aligns with the double taxation agreements (“DTAs”) concluded by Malaysia with an extensive number of countries, including the United States. Pursuant to the DTAs, no withholding tax will be imposed on dividends paid by Malaysian companies to non-residents.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Class A Ordinary Shares by a U.S. Holder (as defined below) that acquires our Class A Ordinary Shares and holds our Class A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certain net investment income, information reporting or backup withholding or any state, local, and non-U.S. tax considerations, relating to the ownership or disposition of our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88"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other tax-deferred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their Class A Ordinary Shares pursuant to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Class A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Class A Ordinary Shares (by vote or value);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the Class A Ordinary Shares through such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Class A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U.S. persons who have the authority to control all substantial decisions of the trust, or (ii) that has otherwise validly elected to be treated as a U.S. person under the Code.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Class A Ordinary Shares, the tax treatment of a partner in the partnership will generally depend upon the status of the partner and the activities of the partnership. Partnerships holding our Class A Ordinary Shares and their partners are urged to consult their tax advisors regarding an investment in our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and projections as to the market price of our Class A Ordinary Shares,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potential strategic investment business as compared to our other businesses, and the value of the assets held by our potential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Class A Ordinary Shares may cause us to be a PFIC for the current or future taxable years because the value of our assets for purposes of the asset test, including the value of our goodwill and unbooked intangibles, may be determined by reference to the market price of our Class A Ordinary Shares from time to time (which may be volatile). In estimating the value of our goodwill and other unbooked intangibles, we have taken into account our market capitalization.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the initial public offering. Under circumstances where our revenues from activities that produce passive income significantly increases relative to our revenues from activities that produce non-passive income, or where we determine not to deploy significant amounts of cash for active purposes, our risk of becoming a PFIC may substantially increase.</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Class A Ordinary Shares, we generally will continue to be treated as a PFIC for all succeeding years during which such U.S. Holder holds our Class A Ordinary Shares unless, in such case, we cease to be treated as a PFIC and such U.S. Holder makes a deemed sole election.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cash distributions paid on our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Dividends received on our Class A Ordinary Shares will not be eligible for the dividends received deduction allowed to corporations in respect of dividends-received from U.S. corporations.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Class A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There can be no assurance that the Class A Ordinary Shares will continue to be considered readily tradable on an established securities market in later years. U.S. Holders are urged to consult their tax advisors regarding the availability of the lower rate for dividends paid with respect to the Class A Ordinary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 foreign tax credit purposes, dividends paid on our Class A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Class A Ordinary Shares in an amount equal to the difference between the amount realized upon the disposition and the holder’s adjusted tax basis in such Class A Ordinary Shares. Such gain or loss will generally be capital gain or loss. Any such capital gain or loss will be long term if the Class A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Class A Ordinary Shares, including the applicability of any tax treaty and the availability of the foreign tax credit under its particular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Class A Ordinary Shares), and (ii) any gain realized on the sale or other disposition, including, under certain circumstances, a pledge, Class A Ordinary Shares. Under the PFIC rules:</w:t>
      </w:r>
    </w:p>
    <w:p>
      <w:pPr>
        <w:spacing w:after="0" w:line="183"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 market election with respect to such stock. If a U.S. Holder makes this election with respect to our Class A Ordinary Shares, the holder will generally(i) include as ordinary income for each taxable year that we are a PFIC the excess, if any, of the fair market value of Class A Ordinary Shares held at the end of the taxable year over the adjusted tax basis of such Class A Ordinary Shares and (ii) deduct as an ordinary loss the excess, if any, of the adjusted tax basis of the Class A Ordinary Shares over the fair market value of such Class A Ordinary Shares held at the end of the taxable year, but such deduction will only be allowed to the extent of the net amount previously included in income as a result of the mark-to-market election. The U.S. Holder’s adjusted tax basis in the Class A Ordinary Shares would be adjusted to reflect any income or loss resulting from the mark-to-market election. If a U.S. Holder makes a mark-to- market election in respect of our Class A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Class A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Class A Ordinary Shares will be treated as marketable stock upon their listing on Nasdaq Capital Market. We anticipate that our Class A Ordinary Shares should qualify as being regularly traded, but no assurances may be given in this regard.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owns our Class A Ordinary Shares during any taxable year that we are a PFIC, the holder must generally file an annual IRS Form 8621. You should consult your tax advisor regarding the U.S. federal income tax consequences of owning and disposing of our Class A Ordinary Shares if we are or become a PFIC.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annual reports on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the Company files reports and other information with the SEC. You may read and copy any materials filed with the SEC at http://www.sec.gov that contains reports and other information regarding registrants that file electronically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11. 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expose to foreign currency risk due to transactions and balances denominated in currencies other than the functional currency of the respective entities of the Group, with the primary risk arising from the Chinese Renminbi (“RMB”). The Group closely monitor foreign currency risk on an ongoing basis to ensure that our net exposure remains at an acceptable level.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minimal foreign currency risk due to its foreign supplier policy of making prepayments in advance of delivery, thus eliminating the need for credit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exposed to interest rate risk arise mainly from interest-bearing bank loans. The interest rates and repayment terms of these loans are disclosed in Note 14 of the financial statements. Currently, The Group does not have an interest rate hedging policy. The sensitivity analysis below is based on our exposure to interest rates for non-derivative instruments at the end of the reporting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50-basis point increase or decrease to report interest rate risk internally to key management personnel, as this represents management’s assessment of a reasonably possible change in interest rates. If interest rates on loans had been 50 basis points higher or lower, with all other variables held constant, our profit would decrease or increase by approximately RM15,098 for the year ended December 31, 2025, and RM16,707 for the year ended December 31,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risk arises mainly due to general funding and business activities. The Group practices prudent risk management by maintaining sufficient cash balances and the availability of funding through certain committed credit facilities. The table below analyses non-derivative financial liabilities of the Group into relevant maturity groupings based on the remaining period from the statement of financial position date to the contractual maturity date. The amounts disclosed in the table are the contractual undiscounted cash flows, which includes both principal and interest. Balances due within 12 months equal their carrying amounts as the impact of discounting is not significant.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75"/>
        </w:trPr>
        <w:tc>
          <w:tcPr>
            <w:tcW w:w="1340" w:type="dxa"/>
            <w:vAlign w:val="bottom"/>
            <w:tcBorders>
              <w:bottom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Bank borrowings</w:t>
            </w:r>
          </w:p>
        </w:tc>
        <w:tc>
          <w:tcPr>
            <w:tcW w:w="4640" w:type="dxa"/>
            <w:vAlign w:val="bottom"/>
            <w:gridSpan w:val="3"/>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5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Repayment within:</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1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773,744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976,072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1,515,098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373,315</w:t>
            </w:r>
          </w:p>
        </w:tc>
      </w:tr>
      <w:tr>
        <w:trPr>
          <w:trHeight w:val="216"/>
        </w:trPr>
        <w:tc>
          <w:tcPr>
            <w:tcW w:w="59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Between 1 and 2 years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773,744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963,436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373,459</w:t>
            </w:r>
          </w:p>
        </w:tc>
      </w:tr>
      <w:tr>
        <w:trPr>
          <w:trHeight w:val="216"/>
        </w:trPr>
        <w:tc>
          <w:tcPr>
            <w:tcW w:w="5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2 and 5 years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1,823,933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1,693,768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2,805,652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691,303</w:t>
            </w:r>
          </w:p>
        </w:tc>
      </w:tr>
      <w:tr>
        <w:trPr>
          <w:trHeight w:val="216"/>
        </w:trPr>
        <w:tc>
          <w:tcPr>
            <w:tcW w:w="59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Over 5 years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288,536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31,172</w:t>
            </w:r>
          </w:p>
        </w:tc>
      </w:tr>
      <w:tr>
        <w:trPr>
          <w:trHeight w:val="216"/>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Bank overdraft</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1,064,530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Lease liabilities</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Repayment within: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1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382,416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94,226</w:t>
            </w:r>
          </w:p>
        </w:tc>
      </w:tr>
      <w:tr>
        <w:trPr>
          <w:trHeight w:val="216"/>
        </w:trPr>
        <w:tc>
          <w:tcPr>
            <w:tcW w:w="59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Between 1 and 2 years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89,742</w:t>
            </w:r>
          </w:p>
        </w:tc>
      </w:tr>
      <w:tr>
        <w:trPr>
          <w:trHeight w:val="216"/>
        </w:trPr>
        <w:tc>
          <w:tcPr>
            <w:tcW w:w="5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2 and 5 years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98,532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672,552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165,714</w:t>
            </w:r>
          </w:p>
        </w:tc>
      </w:tr>
      <w:tr>
        <w:trPr>
          <w:trHeight w:val="216"/>
        </w:trPr>
        <w:tc>
          <w:tcPr>
            <w:tcW w:w="59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Over 5 years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22,745</w:t>
            </w:r>
          </w:p>
        </w:tc>
      </w:tr>
      <w:tr>
        <w:trPr>
          <w:trHeight w:val="216"/>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98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Trade payables</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423,787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82,559</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Other payables</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692,841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422,973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1,749,353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431,035</w:t>
            </w:r>
          </w:p>
        </w:tc>
      </w:tr>
      <w:tr>
        <w:trPr>
          <w:trHeight w:val="216"/>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98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Amount due to director</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137,181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Amount due to shareholder</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primarily arises from the possibility of customers failing to fulfill their payment obligations for the services provided. The Group addresses this risk by conducting thorough customer screening and segmentation based on creditworthiness, setting appropriate credit limits, and enforcing stringent payment terms such as upfront payments and short billing cycles.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Expected credit losses are measured as the difference in the present value of the contractual cash flows that are due to the Company under the contract, and the cash flows that the Company expects to receive. The Company assesses all information available, including past due status, and forward looking macro-economic factors in the measurement of the expected credit losses associated with its assets carried at amortized cost.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Trade receivables</w:t>
            </w: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Collection within less than 1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1,990,414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8,409,351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11,204,601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8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Other receivables</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Collection within less than 1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4,513,832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2,867,160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Lifetime expected credit loss</w:t>
            </w: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at January 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 Charge for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Written off during the year</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(90,205)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As at December 31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4"/>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302,921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and December 31, 2023, the company made a deliberate decision to abstain from setting aside any provision for doubtful debt, given the fact that by February 28, 2025 and March 21, 2024 respectively, the company had successfully received complete settlement of all outstanding amounts owed by trade receivables. For the year ended December 31, 2025, the company recognizes expected credit losses (“ECL”) for accounts receivable based on the simplified approach. The simplified approach to the recognition of expected losses does not require the Company to track the changes in credit risk; rather, the Company recognizes a loss allowance based on lifetime expected credit losses at each reporting date from the date of the accounts receivable.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manages its capital to ensure that entities within our Company will be able to maintain an optimal capital structure so as to support our businesses and maximize shareholders value. To achieve this objective, we may make adjustments to the capital structure in view of changes in economic conditions, such as adjusting the amount of dividend payment, returning of capital to shareholders or issuing new shares.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Group manage its capital based on debt-to-equity ratio that complies with debt covenants and regulatory, if any. The debt-to-equity ratio is calculated as net debt divided by total equity. Net debt is calculated as lease liability, borrowings and bank overdraft plus trade and other payables less cash and bank balances. Total capital is calculated as total equity plus net debts. Capital includes equity attributable to the owners of the parent and non-controlling interest.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574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r>
      <w:tr>
        <w:trPr>
          <w:trHeight w:val="245"/>
        </w:trPr>
        <w:tc>
          <w:tcPr>
            <w:tcW w:w="57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r>
      <w:tr>
        <w:trPr>
          <w:trHeight w:val="194"/>
        </w:trPr>
        <w:tc>
          <w:tcPr>
            <w:tcW w:w="5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2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57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debt/(Net cash)</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3,478,485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2,298,706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(2,670,486)</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(657,998)</w:t>
            </w:r>
          </w:p>
        </w:tc>
        <w:tc>
          <w:tcPr>
            <w:tcW w:w="220" w:type="dxa"/>
            <w:vAlign w:val="bottom"/>
            <w:tcBorders>
              <w:top w:val="single" w:sz="8" w:color="CCEEFF"/>
            </w:tcBorders>
            <w:shd w:val="clear" w:color="auto" w:fill="CCEEFF"/>
          </w:tcPr>
          <w:p>
            <w:pPr>
              <w:spacing w:after="0"/>
              <w:rPr>
                <w:sz w:val="18"/>
                <w:szCs w:val="18"/>
                <w:color w:val="auto"/>
              </w:rPr>
            </w:pPr>
          </w:p>
        </w:tc>
      </w:t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10,218,691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17,384,201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102,011,998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25,135,395</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13,697,176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19,682,907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99,341,512</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24,477,397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Gearing ratio</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12. 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 than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13.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ividend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rrearages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defaults in the payment of principal, interest, or any installments under a sinking or purchase 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14.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odifications to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14.A. - 14.D. Material Modifications to the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No. 333- 284053), as amended, including the annual report contained therein, which registered 1,750,000 Class A Ordinary Shares (formerly ordinary shares of no par value) and was declared effective by the SEC on March 31, 2025, for our initial public offering, which completed on March 10, 2025, at an initial offering price of US$4.00 per Class A Ordinary Share (formerly per ordinary share of no par value). Benchmark Company, LLC was the representative of the underwriters.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issuance and distribution of the Class A Ordinary Shares (formerly ordinary shares of no par value) in our initial public offering, our expenses incurred and paid to others totaled approximately US$2,141,177, which included US$490,000 for underwriting discounts and commissions. None of the transaction expenses included direct or indirect payments to directors or officers of our company or their associates, persons owning more than 10% or more of our equity securities or our affiliates or others. We received an aggregate net proceeds of approximately US$6,292,881 from our initial public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fully utilized the net proceeds from its initial public offering. The proceeds have been applied in a manner consistent with the intended use of proceeds as disclosed in the Company’s registration statement on Form F-1 (File No. 333- 284053).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15. 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ineffective as our management has identified a material weakness that has been identified related to our lack of sufficient financial reporting and accounting personnel with appropriate knowledge of the generally accepted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and SEC reporting requirements to properly address complex IFRS accounting issues and to prepare and review our consolidated financial statements and related disclosures to fulfill IFRS and SEC financial reporting requirements. The other material weakness that has been identified related to our lack of comprehensive accounting policies and procedures manual in accordance with IFRS.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remedy the identified material weaknesses, we have implemented and will continue to implement several measures to improve our internal control over financial reporting, including: (i) that we engaged experienced financial consultant who worked closely with our internal finance team to assist us in preparing our financial statements and related disclosures in accordance with IFRS; (ii) that our Chief Financial Officer received additional training in IFRS through self-study and webinar courses, and began to periodically review major accounting literature updates provided by a major accounting firm which provide an overview of recent U.S. accounting pronouncements. (iii) conducting regular and continuous IFRS training programs and webinars for our financial reporting and accounting personnel; (iv) improving financial oversight function for handling complex accounting issues under IFRS. However, the implementation of these measures may not fully address the deficiencies in our internal control over financial reporting. We are not able to estimate with reasonable certainty the costs that we will need to incur to implement these and other measures designed to improve our internal control over financial reporting. See “Risk Factors-Risks Relating to Our Business and Industry- </w:t>
      </w:r>
      <w:r>
        <w:rPr>
          <w:rFonts w:ascii="Times New Roman" w:cs="Times New Roman" w:eastAsia="Times New Roman" w:hAnsi="Times New Roman"/>
          <w:sz w:val="18"/>
          <w:szCs w:val="18"/>
          <w:i w:val="1"/>
          <w:iCs w:val="1"/>
          <w:color w:val="auto"/>
        </w:rPr>
        <w:t>If we fail to implement and maintain an effective system of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controls to remediate our material weaknesses over financial reporting, we may be unable to accurately report our results of operations, meet our reporting obligations, or prevent fraud.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JOBS Act, we qualify as an “emerging growth company as we recorded revenues less than US$1.235 billion in our most recent fiscal year, which allows us to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 under the Sarbanes-Oxley Act for purposes of identifying and reporting any weakness in our internal control over financial reporting, which, however, will be required once we become a public company and after we cease to be an “emerging growth company” as such term is defined in the JOBS Act.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annual report on internal control over financial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not effective as of December 31, 2025 due to a material weakness identified in our internal control over financial reporting as described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Attestation report of the registered public accounting firm.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registered public accounting firm because we qualified as an “emerging growth company” as defined under the JOBS Act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occurred during the fiscal year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w:t>
      </w:r>
      <w:r>
        <w:rPr>
          <w:rFonts w:ascii="Times New Roman" w:cs="Times New Roman" w:eastAsia="Times New Roman" w:hAnsi="Times New Roman"/>
          <w:sz w:val="17"/>
          <w:szCs w:val="17"/>
          <w:b w:val="1"/>
          <w:bCs w:val="1"/>
          <w:color w:val="auto"/>
        </w:rPr>
        <w:t>16. [Reserved]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16A.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Chen, Ms. Lockman and Mr. Ng serve on the audit committee, chaired by Mr. Chen Xiang Foong. Our Board has determined that each are “independent” for audit committee purposes as that term is defined by the rules of the SEC and Nasdaq, and that each has sufficient knowledge in financial and auditing matters to serve on the audit committee. Our Board has designated Mr. Chen Xiang Foong as an “audit committee financial expert,” and has the accounting or financial management expertise as required under Item 407(d)(5)(ii) and (iii) of Regulation S-K of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16B. 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the Company’s directors, officers, employees and advisors. The Code of Business Conduct and Ethics has been incorporated by reference herewith as Exhibit 11.1 to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16C.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Onestop Assurance PAC. was appointed by the Company to serve as its independent registered public accounting firm for fiscal years ended December 31, 2025, 2024 and 2023. Audit services provided by Onestop Assurance PAC. for fiscal years ended December 31, 2025, 2024 and 2023 included the examination of the consolidated financial statements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Onestop Assurance PAC, our independent registered public accounting firms,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Onestop Assurance PAC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202,000</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170,000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202,000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billed in each of the fiscal years for professional services rendered by our independent registered public accounting firm for the audit of our annual financial statements, review of the interim financial statements and for the audits of our financial statements in connection with our initial public offering, and comfort letter in connection with the underwritten public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 including audit services and audit-related services as described above, other than those for de minimus services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16D. E</w:t>
      </w:r>
      <w:r>
        <w:rPr>
          <w:rFonts w:ascii="Times New Roman" w:cs="Times New Roman" w:eastAsia="Times New Roman" w:hAnsi="Times New Roman"/>
          <w:sz w:val="12"/>
          <w:szCs w:val="12"/>
          <w:b w:val="1"/>
          <w:bCs w:val="1"/>
          <w:color w:val="auto"/>
        </w:rPr>
        <w:t>xemptions from 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udit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16E. P</w:t>
      </w:r>
      <w:r>
        <w:rPr>
          <w:rFonts w:ascii="Times New Roman" w:cs="Times New Roman" w:eastAsia="Times New Roman" w:hAnsi="Times New Roman"/>
          <w:sz w:val="12"/>
          <w:szCs w:val="12"/>
          <w:b w:val="1"/>
          <w:bCs w:val="1"/>
          <w:color w:val="auto"/>
        </w:rPr>
        <w:t>urchases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 by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16F.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16G.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listed on the Nasdaq Capital Market, we are subject to the Nasdaq corporate governance listing standards. However, Nasdaq rules permit a foreign private issuer like us to follow the corporate governance practices of its home country. Certain corporate governance practices in the British Virgin Islands, which is our home country, may differ significantly from the Nasdaq corporate governance listing standards.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we obtained an exemption letter from our BVI counsel, Mourant Ozannes, relying on Nasdaq Marketplace Rule 5615(a)(3), which allows foreign private issuers to follow home country practice with respect to certain corporate governance requirements. The company held an extraordinary general meeting in August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Despite relying on these exemptions, we continue to adhere to certain Nasdaq corporate governance requirements, such as maintaining a majority of independent directors on our board, conducting regular executive sessions attended solely by independent directors, and ensuring that our audit committee is comprised entirely of independent directors who meet the qualifications set forth in Rule 10A-3 under the Exchange Act. We may, in the future, rely on other exemptions under Nasdaq rules to follow home country practices for additional corporate governance requirements. See “Item 3. Key Information-D. Risk Factors-Risks Related to Our Capital Structure- </w:t>
      </w:r>
      <w:r>
        <w:rPr>
          <w:rFonts w:ascii="Times New Roman" w:cs="Times New Roman" w:eastAsia="Times New Roman" w:hAnsi="Times New Roman"/>
          <w:sz w:val="18"/>
          <w:szCs w:val="18"/>
          <w:i w:val="1"/>
          <w:iCs w:val="1"/>
          <w:color w:val="auto"/>
        </w:rPr>
        <w:t>As a company incorporated in the BVI, we are permitted to follow certain home country practices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 to corporate governance matters in lieu of certain requirements under Nasdaq corporate governance listing rules. These practices may afford less protection to shareholders than they would enjoy if we complied fully with Nasdaq corporate governance listing standards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16H. M</w:t>
      </w:r>
      <w:r>
        <w:rPr>
          <w:rFonts w:ascii="Times New Roman" w:cs="Times New Roman" w:eastAsia="Times New Roman" w:hAnsi="Times New Roman"/>
          <w:sz w:val="12"/>
          <w:szCs w:val="12"/>
          <w:b w:val="1"/>
          <w:bCs w:val="1"/>
          <w:color w:val="auto"/>
        </w:rPr>
        <w:t>ine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afety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16I.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oreign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urisdictions that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16J.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governing the purchase, sale, and other dispositions of our securities by directors, senior management, and employees. A copy of the insider trading policies has been incorporated by reference herewith as Exhibit 11.2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w:t>
      </w:r>
      <w:r>
        <w:rPr>
          <w:rFonts w:ascii="Times New Roman" w:cs="Times New Roman" w:eastAsia="Times New Roman" w:hAnsi="Times New Roman"/>
          <w:sz w:val="12"/>
          <w:szCs w:val="12"/>
          <w:b w:val="1"/>
          <w:bCs w:val="1"/>
          <w:color w:val="auto"/>
        </w:rPr>
        <w:t>ybersecurity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reviewing the Company’s cybersecurity risk management and control systems in relation to the financial reporting by the Company, including the Company’s cybersecurity strategy. We maintain a process for assessing, identifying and managing material risks from cybersecurity threats, including risks relating to disruption of business operations or financial reporting systems, intellectual property theft; fraud; extortion; harm to employees or customers; violation of privacy laws and other litigation and legal risk; and reputational risk, as part of our overall risk management system and processes. We assess and manage our cybersecurity risks though our Information Technologies (“IT”) Committee, which is integrated by the Chief Executive Officer and the Chief Financial Officer. The Chief Executive Officer presents to our Board of Directors, on a yearly basis, the work carried out on the identification, categorization, and mitigation procedures put in place in relation to the most relevant risks of the company, including cybersecurity risks. In this sense, risks related to cybersecurity have been categorized as “high relevance” for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IT department is responsible for targeted and regular monitoring of cybersecurity risks. They independently and continuously monitor cybersecurity risks and countermeasures to defend against such threats and, in the event of a cybersecurity threat or cybersecurity incident, inform executive management and our Board of Directors. In addition to the regular meetings between executive management and the individual risk owners mainly consisting out of the various departments’ heads, a comprehensive cybersecurity risk analysis for internal and external risks is carried out as appropriate.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priority of the cybersecurity risks as result of the risk evaluation, risks are addressed by concrete actions and, if appropriate and possible, necessary countermeasures. In order to be able to react quickly and flexibly to cybersecurity risks, risk management is integrated into existing processes and reporting channels. Our risk management program considers cybersecurity risks alongside other company risks, and our enterprise risk professionals consult with company subject matter experts to gather information necessary to identify cybersecurity risks and evaluate their nature and severity, as well as identify mitigations and assess the impact of those mitigations on residual risk. We may engage third parties from time to time to conduct risk assessments.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17.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18.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 beginning with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19. E</w:t>
      </w:r>
      <w:r>
        <w:rPr>
          <w:rFonts w:ascii="Times New Roman" w:cs="Times New Roman" w:eastAsia="Times New Roman" w:hAnsi="Times New Roman"/>
          <w:sz w:val="12"/>
          <w:szCs w:val="12"/>
          <w:b w:val="1"/>
          <w:bCs w:val="1"/>
          <w:color w:val="auto"/>
        </w:rPr>
        <w:t>xhibits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42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Memorandum and Articles of Association of Sagtec Global Limited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Employment Agreement by and between Sagtec Global Limited and Ng Chen Lok dated, June 27, 2024 (incorporated by reference to</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Exhibit 10.1 to our registration statement on Form F-1 (File No. 333-284053), as amended, initially filed with the SEC on December 26,</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2024)</w:t>
              </w:r>
            </w:hyperlink>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Employment Agreement by and between Sagtec Global Limited and Tan Kim Chuan dated June 27, 2024 (incorporated by reference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Exhibit 10.2 to our registration statement on Form F-1 ((File No. 333-284053), as amended, initially filed with the SEC on December 26,</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2024)</w:t>
              </w:r>
            </w:hyperlink>
          </w:p>
        </w:tc>
        <w:tc>
          <w:tcPr>
            <w:tcW w:w="320" w:type="dxa"/>
            <w:vAlign w:val="bottom"/>
            <w:tcBorders>
              <w:top w:val="single" w:sz="8" w:color="0000EE"/>
            </w:tcBorders>
            <w:shd w:val="clear" w:color="auto" w:fill="CCEEFF"/>
          </w:tcPr>
          <w:p>
            <w:pPr>
              <w:spacing w:after="0"/>
              <w:rPr>
                <w:sz w:val="18"/>
                <w:szCs w:val="18"/>
                <w:color w:val="auto"/>
              </w:rPr>
            </w:pPr>
          </w:p>
        </w:tc>
        <w:tc>
          <w:tcPr>
            <w:tcW w:w="188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16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310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Director Offer Letter by and between Sagtec Global Limited and Zuria Hajar Bt Mohd Adnan dated June 27, 2024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reference to Exhibit 10.3 to our registration statement on Form F-1 (File No. 333-284053), as amended, initially filed with the SEC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December 26,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Director Offer Letter by and between Sagtec Global Limited and Loong Xin Yee dated June 27, 2024 (incorporated by reference to Exhibit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our registration statement on Form F-1 (File No. 333-284053), as amended, initially filed with the SEC on December 26,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Director Offer Letter by and between Sagtec Global Limited and Elain binti Lockman (incorporated by reference to Exhibit 10.2 to our</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Current Report on Form 6-K (File No. 001-42551), filed with the SEC on May 23,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Director Offer Letter by and between Sagtec Global Limited and Ng Aik Soon (incorporated by reference to Exhibit 10.1 to our Current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Report on Form 6-K (File No. 001-42551), filed with the SEC on January 21, 2026)</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Director Offer Letter by and between Sagtec Global Limited and Chen Xiang Foong (incorporated by reference to Exhibit 10.1 to our</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Current Report on Form 6-K (File No. 001-42551), filed with the SEC on May 23, 2025)</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List of Subsidiaries (incorporated by reference to Exhibit 21.1 to our registration statement on Form F-1 (File No. 333-284053), as</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amended, initially filed with the SEC on December 26,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Code of Ethics (incorporated by reference to Exhibit 14.1 to our registration statement on Form F-1 (File No. 333-284053), as amended,</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initially filed with the SEC on December 26,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Insider Trading Policy (incorporated by reference to Exhibit 14.2 to our registration statement on Form F-1 (File No. 333-284053), as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initially filed with the SEC on December 26, 2024)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Required by Rule 13a-14(a)</w:t>
            </w:r>
          </w:p>
        </w:tc>
      </w:tr>
      <w:tr>
        <w:trPr>
          <w:trHeight w:val="216"/>
        </w:trPr>
        <w:tc>
          <w:tcPr>
            <w:tcW w:w="114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Required by Rule 13a-14(a)</w:t>
            </w:r>
          </w:p>
        </w:tc>
      </w:tr>
      <w:tr>
        <w:trPr>
          <w:trHeight w:val="216"/>
        </w:trPr>
        <w:tc>
          <w:tcPr>
            <w:tcW w:w="114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Required by Rule 13a-14(b) and Section 1350 of Chapter 63 of Title 18 of the United States Code</w:t>
            </w:r>
          </w:p>
        </w:tc>
      </w:tr>
      <w:tr>
        <w:trPr>
          <w:trHeight w:val="216"/>
        </w:trPr>
        <w:tc>
          <w:tcPr>
            <w:tcW w:w="114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Required by Rule 13a-14(b) and Section 1350 of Chapter 63 of Title 18 of the United States Code</w:t>
            </w:r>
          </w:p>
        </w:tc>
      </w:tr>
      <w:tr>
        <w:trPr>
          <w:trHeight w:val="216"/>
        </w:trPr>
        <w:tc>
          <w:tcPr>
            <w:tcW w:w="114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Onestop Assurance PAC</w:t>
            </w:r>
          </w:p>
        </w:tc>
      </w:tr>
      <w:tr>
        <w:trPr>
          <w:trHeight w:val="216"/>
        </w:trPr>
        <w:tc>
          <w:tcPr>
            <w:tcW w:w="114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Executive Compensation Recovery Policy (incorporated by reference to Exhibit 14.3 to our registration statement on Form F-1 (File No.</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333-284053), as amended, initially filed with the SEC on December 26,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2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Ng Chen Lok</w:t>
      </w:r>
    </w:p>
    <w:p>
      <w:pPr>
        <w:spacing w:after="0" w:line="29" w:lineRule="exact"/>
        <w:rPr>
          <w:sz w:val="20"/>
          <w:szCs w:val="20"/>
          <w:color w:val="auto"/>
        </w:rPr>
      </w:pPr>
    </w:p>
    <w:tbl>
      <w:tblPr>
        <w:tblLayout w:type="fixed"/>
        <w:tblInd w:w="7220" w:type="dxa"/>
        <w:tblCellMar>
          <w:top w:w="0" w:type="dxa"/>
          <w:left w:w="0" w:type="dxa"/>
          <w:bottom w:w="0" w:type="dxa"/>
          <w:right w:w="0" w:type="dxa"/>
        </w:tblCellMar>
      </w:tblPr>
      <w:tr>
        <w:trPr>
          <w:trHeight w:val="218"/>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Ng Chen Lok</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Chief Executive Officer and</w:t>
            </w:r>
          </w:p>
        </w:tc>
      </w:tr>
      <w:tr>
        <w:trPr>
          <w:trHeight w:val="234"/>
        </w:trPr>
        <w:tc>
          <w:tcPr>
            <w:tcW w:w="56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708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SAGTEC GLOBAL LIMITED</w:t>
            </w:r>
          </w:p>
        </w:tc>
        <w:tc>
          <w:tcPr>
            <w:tcW w:w="10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08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708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53"/>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6"/>
        </w:trPr>
        <w:tc>
          <w:tcPr>
            <w:tcW w:w="568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6732)</w:t>
            </w:r>
          </w:p>
        </w:tc>
        <w:tc>
          <w:tcPr>
            <w:tcW w:w="4440" w:type="dxa"/>
            <w:vAlign w:val="bottom"/>
            <w:tcBorders>
              <w:top w:val="single" w:sz="8" w:color="auto"/>
              <w:bottom w:val="single" w:sz="8" w:color="CCEEFF"/>
            </w:tcBorders>
            <w:gridSpan w:val="5"/>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2025 and 2024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5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Profit or Loss and Other Comprehensive Income for the years ended December 31, 2025, 2024 and 2023</w:t>
            </w: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2025, 2024 and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2024 and 2023</w:t>
            </w:r>
          </w:p>
        </w:tc>
        <w:tc>
          <w:tcPr>
            <w:tcW w:w="33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675"/>
        </w:trPr>
        <w:tc>
          <w:tcPr>
            <w:tcW w:w="3160" w:type="dxa"/>
            <w:vAlign w:val="bottom"/>
            <w:tcBorders>
              <w:top w:val="single" w:sz="8" w:color="0000EE"/>
              <w:bottom w:val="single" w:sz="8" w:color="auto"/>
            </w:tcBorders>
          </w:tcPr>
          <w:p>
            <w:pPr>
              <w:spacing w:after="0"/>
              <w:rPr>
                <w:sz w:val="24"/>
                <w:szCs w:val="24"/>
                <w:color w:val="auto"/>
              </w:rPr>
            </w:pPr>
          </w:p>
        </w:tc>
        <w:tc>
          <w:tcPr>
            <w:tcW w:w="7080" w:type="dxa"/>
            <w:vAlign w:val="bottom"/>
            <w:tcBorders>
              <w:bottom w:val="single" w:sz="8" w:color="auto"/>
            </w:tcBorders>
            <w:gridSpan w:val="7"/>
          </w:tcPr>
          <w:p>
            <w:pPr>
              <w:jc w:val="center"/>
              <w:ind w:right="21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0" w:name="page101"/>
    <w:bookmarkEnd w:id="10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Sagtec Global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Sagtec Global Limited and its Subsidiaries (collectively, the “Group”) as of December 31, 2025 and 2024 and the related consolidated statements of profit or loss and other comprehensive income, changes in equity, and cash flows for each of the years in the three-year period ended December 31, 2025, and the related notes (collectively referred to as the “consolidated financial statements”). In our opinion, the consolidated financial statements present fairly, in all material respects, the financial position of the Group as of December 31, 2025 and the results of its operations and its cash flows for each of the years in the three-year period ended December 31, 2025, in conformity with International Financial Reporting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 Group’s consolidated financial statements based on our audits. We are a public accounting firm registered with the Public Company Accounting Oversight Board (United States) (“PCAOB”) and are required to be independent with respect to the Group in accordance with the United States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Group’s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Onestop Assurance 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6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r>
      <w:tr>
        <w:trPr>
          <w:trHeight w:val="245"/>
        </w:trPr>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6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89"/>
        </w:trPr>
        <w:tc>
          <w:tcPr>
            <w:tcW w:w="68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552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53"/>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Plant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14,253,818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39,086,576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9,630,794</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1,410,228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347,475</w:t>
            </w:r>
          </w:p>
        </w:tc>
        <w:tc>
          <w:tcPr>
            <w:tcW w:w="80" w:type="dxa"/>
            <w:vAlign w:val="bottom"/>
          </w:tcPr>
          <w:p>
            <w:pPr>
              <w:spacing w:after="0"/>
              <w:rPr>
                <w:sz w:val="18"/>
                <w:szCs w:val="18"/>
                <w:color w:val="auto"/>
              </w:rPr>
            </w:pPr>
          </w:p>
        </w:tc>
      </w:tr>
      <w:tr>
        <w:trPr>
          <w:trHeight w:val="249"/>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Prepayments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51,058,607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12,580,660</w:t>
            </w:r>
          </w:p>
        </w:tc>
        <w:tc>
          <w:tcPr>
            <w:tcW w:w="80" w:type="dxa"/>
            <w:vAlign w:val="bottom"/>
            <w:shd w:val="clear" w:color="auto" w:fill="CCEEFF"/>
          </w:tcPr>
          <w:p>
            <w:pPr>
              <w:spacing w:after="0"/>
              <w:rPr>
                <w:sz w:val="21"/>
                <w:szCs w:val="21"/>
                <w:color w:val="auto"/>
              </w:rPr>
            </w:pPr>
          </w:p>
        </w:tc>
      </w:tr>
      <w:tr>
        <w:trPr>
          <w:trHeight w:val="203"/>
        </w:trPr>
        <w:tc>
          <w:tcPr>
            <w:tcW w:w="6200" w:type="dxa"/>
            <w:vAlign w:val="bottom"/>
            <w:tcBorders>
              <w:top w:val="single" w:sz="8" w:color="CCEEFF"/>
            </w:tcBorders>
            <w:gridSpan w:val="3"/>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non-current assets</w:t>
            </w: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14,423,844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91,555,411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22,558,929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8,409,351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9,975,198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2,457,853</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 receivables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2,867,160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125,406</w:t>
            </w:r>
          </w:p>
        </w:tc>
        <w:tc>
          <w:tcPr>
            <w:tcW w:w="80" w:type="dxa"/>
            <w:vAlign w:val="bottom"/>
          </w:tcPr>
          <w:p>
            <w:pPr>
              <w:spacing w:after="0"/>
              <w:rPr>
                <w:sz w:val="18"/>
                <w:szCs w:val="18"/>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Prepayments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3,761,758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926,884</w:t>
            </w:r>
          </w:p>
        </w:tc>
        <w:tc>
          <w:tcPr>
            <w:tcW w:w="80" w:type="dxa"/>
            <w:vAlign w:val="bottom"/>
            <w:shd w:val="clear" w:color="auto" w:fill="CCEEFF"/>
          </w:tcPr>
          <w:p>
            <w:pPr>
              <w:spacing w:after="0"/>
              <w:rPr>
                <w:sz w:val="18"/>
                <w:szCs w:val="18"/>
                <w:color w:val="auto"/>
              </w:rPr>
            </w:pPr>
          </w:p>
        </w:tc>
      </w:tr>
      <w:tr>
        <w:trPr>
          <w:trHeight w:val="23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Cash and short term deposits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1,654,146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10,861,937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2,676,344</w:t>
            </w:r>
          </w:p>
        </w:tc>
        <w:tc>
          <w:tcPr>
            <w:tcW w:w="80" w:type="dxa"/>
            <w:vAlign w:val="bottom"/>
          </w:tcPr>
          <w:p>
            <w:pPr>
              <w:spacing w:after="0"/>
              <w:rPr>
                <w:sz w:val="20"/>
                <w:szCs w:val="20"/>
                <w:color w:val="auto"/>
              </w:rPr>
            </w:pPr>
          </w:p>
        </w:tc>
      </w:tr>
      <w:tr>
        <w:trPr>
          <w:trHeight w:val="223"/>
        </w:trPr>
        <w:tc>
          <w:tcPr>
            <w:tcW w:w="620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12,930,657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25,107,851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6,186,487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27,354,501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116,663,262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28,745,416</w:t>
            </w:r>
          </w:p>
        </w:tc>
        <w:tc>
          <w:tcPr>
            <w:tcW w:w="80" w:type="dxa"/>
            <w:vAlign w:val="bottom"/>
            <w:shd w:val="clear" w:color="auto" w:fill="CCEEFF"/>
          </w:tcPr>
          <w:p>
            <w:pPr>
              <w:spacing w:after="0"/>
              <w:rPr>
                <w:sz w:val="22"/>
                <w:szCs w:val="22"/>
                <w:color w:val="auto"/>
              </w:rPr>
            </w:pPr>
          </w:p>
        </w:tc>
      </w:tr>
      <w:tr>
        <w:trPr>
          <w:trHeight w:val="21"/>
        </w:trPr>
        <w:tc>
          <w:tcPr>
            <w:tcW w:w="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2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Trade payables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335,070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82,559</w:t>
            </w:r>
          </w:p>
        </w:tc>
        <w:tc>
          <w:tcPr>
            <w:tcW w:w="80" w:type="dxa"/>
            <w:vAlign w:val="bottom"/>
          </w:tcPr>
          <w:p>
            <w:pPr>
              <w:spacing w:after="0"/>
              <w:rPr>
                <w:sz w:val="18"/>
                <w:szCs w:val="18"/>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payables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1,172,737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1,749,353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431,035</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441,353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6,233</w:t>
            </w:r>
          </w:p>
        </w:tc>
        <w:tc>
          <w:tcPr>
            <w:tcW w:w="80" w:type="dxa"/>
            <w:vAlign w:val="bottom"/>
          </w:tcPr>
          <w:p>
            <w:pPr>
              <w:spacing w:after="0"/>
              <w:rPr>
                <w:sz w:val="18"/>
                <w:szCs w:val="18"/>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payable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3,918,926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5,143,639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1,267,375</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79,709</w:t>
            </w:r>
          </w:p>
        </w:tc>
        <w:tc>
          <w:tcPr>
            <w:tcW w:w="80" w:type="dxa"/>
            <w:vAlign w:val="bottom"/>
          </w:tcPr>
          <w:p>
            <w:pPr>
              <w:spacing w:after="0"/>
              <w:rPr>
                <w:sz w:val="18"/>
                <w:szCs w:val="18"/>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 overdraft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Bank borrowings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736,481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1,173,088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289,045</w:t>
            </w:r>
          </w:p>
        </w:tc>
        <w:tc>
          <w:tcPr>
            <w:tcW w:w="80" w:type="dxa"/>
            <w:vAlign w:val="bottom"/>
          </w:tcPr>
          <w:p>
            <w:pPr>
              <w:spacing w:after="0"/>
              <w:rPr>
                <w:sz w:val="20"/>
                <w:szCs w:val="20"/>
                <w:color w:val="auto"/>
              </w:rPr>
            </w:pPr>
          </w:p>
        </w:tc>
      </w:tr>
      <w:tr>
        <w:trPr>
          <w:trHeight w:val="216"/>
        </w:trPr>
        <w:tc>
          <w:tcPr>
            <w:tcW w:w="6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6,426,852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8,749,946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2,155,956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1,036,738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255,449</w:t>
            </w:r>
          </w:p>
        </w:tc>
        <w:tc>
          <w:tcPr>
            <w:tcW w:w="80" w:type="dxa"/>
            <w:vAlign w:val="bottom"/>
          </w:tcPr>
          <w:p>
            <w:pPr>
              <w:spacing w:after="0"/>
              <w:rPr>
                <w:sz w:val="18"/>
                <w:szCs w:val="18"/>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 borrowings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2,526,234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3,859,445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950,954</w:t>
            </w:r>
          </w:p>
        </w:tc>
        <w:tc>
          <w:tcPr>
            <w:tcW w:w="80" w:type="dxa"/>
            <w:vAlign w:val="bottom"/>
            <w:shd w:val="clear" w:color="auto" w:fill="CCEEFF"/>
          </w:tcPr>
          <w:p>
            <w:pPr>
              <w:spacing w:after="0"/>
              <w:rPr>
                <w:sz w:val="18"/>
                <w:szCs w:val="18"/>
                <w:color w:val="auto"/>
              </w:rPr>
            </w:pPr>
          </w:p>
        </w:tc>
      </w:tr>
      <w:tr>
        <w:trPr>
          <w:trHeight w:val="23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907,405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1,005,135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247,662</w:t>
            </w:r>
          </w:p>
        </w:tc>
        <w:tc>
          <w:tcPr>
            <w:tcW w:w="80" w:type="dxa"/>
            <w:vAlign w:val="bottom"/>
          </w:tcPr>
          <w:p>
            <w:pPr>
              <w:spacing w:after="0"/>
              <w:rPr>
                <w:sz w:val="20"/>
                <w:szCs w:val="20"/>
                <w:color w:val="auto"/>
              </w:rPr>
            </w:pPr>
          </w:p>
        </w:tc>
      </w:tr>
      <w:tr>
        <w:trPr>
          <w:trHeight w:val="223"/>
        </w:trPr>
        <w:tc>
          <w:tcPr>
            <w:tcW w:w="620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non-current labilities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3,543,448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5,901,318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9,970,300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14,651,264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3,610,021</w:t>
            </w:r>
          </w:p>
        </w:tc>
        <w:tc>
          <w:tcPr>
            <w:tcW w:w="80" w:type="dxa"/>
            <w:vAlign w:val="bottom"/>
            <w:shd w:val="clear" w:color="auto" w:fill="CCEEFF"/>
          </w:tcPr>
          <w:p>
            <w:pPr>
              <w:spacing w:after="0"/>
              <w:rPr>
                <w:sz w:val="20"/>
                <w:szCs w:val="20"/>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Share capital, 10,800,000 common shares issued and outstanding with no par</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value, unlimited authorized share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1,145,780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1,145,780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282,317</w:t>
            </w:r>
          </w:p>
        </w:tc>
        <w:tc>
          <w:tcPr>
            <w:tcW w:w="80" w:type="dxa"/>
            <w:vAlign w:val="bottom"/>
          </w:tcPr>
          <w:p>
            <w:pPr>
              <w:spacing w:after="0"/>
              <w:rPr>
                <w:sz w:val="20"/>
                <w:szCs w:val="20"/>
                <w:color w:val="auto"/>
              </w:rPr>
            </w:pPr>
          </w:p>
        </w:tc>
      </w:tr>
      <w:tr>
        <w:trPr>
          <w:trHeight w:val="216"/>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8,850,000 ordinary shares with no par value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77,333,584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19,054,720</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3,280,388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3,280,388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808,276</w:t>
            </w:r>
          </w:p>
        </w:tc>
        <w:tc>
          <w:tcPr>
            <w:tcW w:w="80" w:type="dxa"/>
            <w:vAlign w:val="bottom"/>
          </w:tcPr>
          <w:p>
            <w:pPr>
              <w:spacing w:after="0"/>
              <w:rPr>
                <w:sz w:val="18"/>
                <w:szCs w:val="18"/>
                <w:color w:val="auto"/>
              </w:rPr>
            </w:pPr>
          </w:p>
        </w:tc>
      </w:tr>
      <w:tr>
        <w:trPr>
          <w:trHeight w:val="249"/>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12,365,963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19,451,649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4,792,818</w:t>
            </w:r>
          </w:p>
        </w:tc>
        <w:tc>
          <w:tcPr>
            <w:tcW w:w="80" w:type="dxa"/>
            <w:vAlign w:val="bottom"/>
            <w:shd w:val="clear" w:color="auto" w:fill="CCEEFF"/>
          </w:tcPr>
          <w:p>
            <w:pPr>
              <w:spacing w:after="0"/>
              <w:rPr>
                <w:sz w:val="21"/>
                <w:szCs w:val="21"/>
                <w:color w:val="auto"/>
              </w:rPr>
            </w:pPr>
          </w:p>
        </w:tc>
      </w:tr>
      <w:tr>
        <w:trPr>
          <w:trHeight w:val="203"/>
        </w:trPr>
        <w:tc>
          <w:tcPr>
            <w:tcW w:w="6200" w:type="dxa"/>
            <w:vAlign w:val="bottom"/>
            <w:tcBorders>
              <w:top w:val="single" w:sz="8" w:color="CCEEFF"/>
            </w:tcBorders>
            <w:gridSpan w:val="3"/>
          </w:tcPr>
          <w:p>
            <w:pPr>
              <w:ind w:left="220"/>
              <w:spacing w:after="0" w:line="203" w:lineRule="exact"/>
              <w:rPr>
                <w:sz w:val="20"/>
                <w:szCs w:val="20"/>
                <w:color w:val="auto"/>
              </w:rPr>
            </w:pPr>
            <w:r>
              <w:rPr>
                <w:rFonts w:ascii="Times New Roman" w:cs="Times New Roman" w:eastAsia="Times New Roman" w:hAnsi="Times New Roman"/>
                <w:sz w:val="18"/>
                <w:szCs w:val="18"/>
                <w:color w:val="auto"/>
              </w:rPr>
              <w:t>Shareholders’ equity</w:t>
            </w: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16,792,131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101,211,401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24,938,131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592,070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800,597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197,264</w:t>
            </w:r>
          </w:p>
        </w:tc>
        <w:tc>
          <w:tcPr>
            <w:tcW w:w="80" w:type="dxa"/>
            <w:vAlign w:val="bottom"/>
            <w:shd w:val="clear" w:color="auto" w:fill="CCEEFF"/>
          </w:tcPr>
          <w:p>
            <w:pPr>
              <w:spacing w:after="0"/>
              <w:rPr>
                <w:sz w:val="21"/>
                <w:szCs w:val="21"/>
                <w:color w:val="auto"/>
              </w:rPr>
            </w:pPr>
          </w:p>
        </w:tc>
      </w:tr>
      <w:tr>
        <w:trPr>
          <w:trHeight w:val="210"/>
        </w:trPr>
        <w:tc>
          <w:tcPr>
            <w:tcW w:w="620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17,384,201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102,011,998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25,135,395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27,354,501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116,663,262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28,745,416</w:t>
            </w:r>
          </w:p>
        </w:tc>
        <w:tc>
          <w:tcPr>
            <w:tcW w:w="80" w:type="dxa"/>
            <w:vAlign w:val="bottom"/>
          </w:tcPr>
          <w:p>
            <w:pPr>
              <w:spacing w:after="0"/>
              <w:rPr>
                <w:sz w:val="22"/>
                <w:szCs w:val="22"/>
                <w:color w:val="auto"/>
              </w:rPr>
            </w:pPr>
          </w:p>
        </w:tc>
      </w:tr>
      <w:tr>
        <w:trPr>
          <w:trHeight w:val="21"/>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09" w:gutter="0" w:footer="0" w:header="0"/>
        </w:sectPr>
      </w:pPr>
    </w:p>
    <w:bookmarkStart w:id="102" w:name="page103"/>
    <w:bookmarkEnd w:id="10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SAGTEC GLOBAL LIMITED AND ITS SUBSIDIARIES CONSOLIDATED STATEMENTS OF PROFIT OR LOSS AND OTHER COMPREHENSIVE INCOME FOR THE YEARS ENDED DECEMBER 31, 2023, 2024 AND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48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4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RM</w:t>
            </w:r>
          </w:p>
        </w:tc>
        <w:tc>
          <w:tcPr>
            <w:tcW w:w="13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24,292,181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51,999,379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77,510,474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4,988,468</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29,280,649</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51,999,379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77,510,474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(21,112,777)</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(39,841,428)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(59,885,461)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(14,755,566)</w:t>
            </w:r>
          </w:p>
        </w:tc>
      </w:tr>
      <w:tr>
        <w:trPr>
          <w:trHeight w:val="210"/>
        </w:trPr>
        <w:tc>
          <w:tcPr>
            <w:tcW w:w="4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cost of sales</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(21,112,777</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(39,841,428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(59,885,461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(14,755,566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8,167,872</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12,157,951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17,625,013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4,342,740</w:t>
            </w:r>
          </w:p>
        </w:tc>
      </w:tr>
      <w:tr>
        <w:trPr>
          <w:trHeight w:val="216"/>
        </w:trPr>
        <w:tc>
          <w:tcPr>
            <w:tcW w:w="4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(2,156,947)</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(1,970,324)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(7,955,669)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(1,960,248)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 from related parties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(571,243)</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(698,802)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(1,011,040)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(249,117)</w:t>
            </w: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Disposal Gain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662,701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6,102,383</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9,488,825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8,658,304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85,198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311,744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1,248,127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307,534</w:t>
            </w: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(164,491)</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(262,176)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(246,123)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(60,644)</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6,023,090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9,538,393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9,660,308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(1,366,789)</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(2,372,883)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(2,366,095)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(582,997)</w:t>
            </w:r>
          </w:p>
        </w:tc>
      </w:tr>
      <w:tr>
        <w:trPr>
          <w:trHeight w:val="216"/>
        </w:trPr>
        <w:tc>
          <w:tcPr>
            <w:tcW w:w="4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4"/>
        </w:trPr>
        <w:tc>
          <w:tcPr>
            <w:tcW w:w="4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profit for the period, representing total comprehensive</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for the year</w:t>
            </w: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4,656,301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7,165,510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7,294,213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1,797,268</w:t>
            </w:r>
          </w:p>
        </w:tc>
      </w:tr>
      <w:tr>
        <w:trPr>
          <w:trHeight w:val="216"/>
        </w:trPr>
        <w:tc>
          <w:tcPr>
            <w:tcW w:w="4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Equity owners of the Company</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4,476,259</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6,926,414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7,085,686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1,745,888</w:t>
            </w:r>
          </w:p>
        </w:tc>
      </w:tr>
      <w:tr>
        <w:trPr>
          <w:trHeight w:val="24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180,042</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239,096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208,527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51,380</w:t>
            </w:r>
          </w:p>
        </w:tc>
      </w:tr>
      <w:tr>
        <w:trPr>
          <w:trHeight w:val="210"/>
        </w:trPr>
        <w:tc>
          <w:tcPr>
            <w:tcW w:w="4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4,656,301</w:t>
            </w:r>
          </w:p>
        </w:tc>
        <w:tc>
          <w:tcPr>
            <w:tcW w:w="2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7,165,510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7,294,213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1,797,268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48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 Basic and Diluted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10,800,000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10,800,000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19,650,000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19,650,000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0.4145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0.6413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0.3606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0.0888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SAGTEC GLOBAL LIMITED AND ITS SUBSIDIARIES CONSOLIDATED STATEMENTS OF CHANGES IN EQUITY FOR THE FINANCIAL YEARS ENDED DECEMBER 31, 2023, 2024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1"/>
                <w:szCs w:val="21"/>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1"/>
                <w:szCs w:val="21"/>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Total equity</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10,800,000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2,515,899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3,280,388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6,758,247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1,133,496</w:t>
            </w: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336,217</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336,217</w:t>
            </w:r>
          </w:p>
        </w:tc>
        <w:tc>
          <w:tcPr>
            <w:tcW w:w="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309,163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645,380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transaction</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3,349</w:t>
            </w:r>
          </w:p>
        </w:tc>
        <w:tc>
          <w:tcPr>
            <w:tcW w:w="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(3,349)</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Disposition of Sagfood</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(Malaysia) Sdn Bhd</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(1,708,355)</w:t>
            </w: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(1,708,355)</w:t>
            </w:r>
          </w:p>
        </w:tc>
        <w:tc>
          <w:tcPr>
            <w:tcW w:w="2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(1,266,378)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(2,974,733)</w:t>
            </w: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profit for the year,</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representing total</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for the</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4,476,259</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4,476,259</w:t>
            </w:r>
          </w:p>
        </w:tc>
        <w:tc>
          <w:tcPr>
            <w:tcW w:w="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180,042</w:t>
            </w:r>
          </w:p>
        </w:tc>
        <w:tc>
          <w:tcPr>
            <w:tcW w:w="220" w:type="dxa"/>
            <w:vAlign w:val="bottom"/>
            <w:tcBorders>
              <w:right w:val="single" w:sz="8" w:color="CCEEFF"/>
            </w:tcBorders>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4,656,301</w:t>
            </w: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10,800,000</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1,145,780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3,280,388</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5,439,549</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9,865,717</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352,974</w:t>
            </w: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10,218,691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profit for the year,</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representing total</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for the</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6,926,414</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6,926,414</w:t>
            </w:r>
          </w:p>
        </w:tc>
        <w:tc>
          <w:tcPr>
            <w:tcW w:w="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239,096</w:t>
            </w:r>
          </w:p>
        </w:tc>
        <w:tc>
          <w:tcPr>
            <w:tcW w:w="220" w:type="dxa"/>
            <w:vAlign w:val="bottom"/>
            <w:tcBorders>
              <w:right w:val="single" w:sz="8" w:color="CCEEFF"/>
            </w:tcBorders>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7,165,510</w:t>
            </w: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2024</w:t>
            </w: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10,800,000</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1,145,780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3,280,388</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12,365,963</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16,792,131</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592,070</w:t>
            </w: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17,384,201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IPO, net</w:t>
            </w:r>
          </w:p>
        </w:tc>
        <w:tc>
          <w:tcPr>
            <w:tcW w:w="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1,750,000</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20,039,124</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20,039,124</w:t>
            </w: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20,039,124</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18"/>
                <w:szCs w:val="18"/>
                <w:color w:val="auto"/>
              </w:rPr>
            </w:pP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7,100,000</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57,294,460</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57,294,460</w:t>
            </w:r>
          </w:p>
        </w:tc>
        <w:tc>
          <w:tcPr>
            <w:tcW w:w="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57,294,460</w:t>
            </w: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profit for the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representing</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comprehensive income for</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7,085,686</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7,085,686</w:t>
            </w:r>
          </w:p>
        </w:tc>
        <w:tc>
          <w:tcPr>
            <w:tcW w:w="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208,527</w:t>
            </w:r>
          </w:p>
        </w:tc>
        <w:tc>
          <w:tcPr>
            <w:tcW w:w="220" w:type="dxa"/>
            <w:vAlign w:val="bottom"/>
            <w:tcBorders>
              <w:right w:val="single" w:sz="8" w:color="CCEEFF"/>
            </w:tcBorders>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7,294,213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19,650,000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78,479,364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3,280,388</w:t>
            </w:r>
          </w:p>
        </w:tc>
        <w:tc>
          <w:tcPr>
            <w:tcW w:w="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19,451,649</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101,211,401</w:t>
            </w:r>
          </w:p>
        </w:tc>
        <w:tc>
          <w:tcPr>
            <w:tcW w:w="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800,597</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102,011,998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0" w:type="dxa"/>
            <w:vAlign w:val="bottom"/>
          </w:tcPr>
          <w:p>
            <w:pPr>
              <w:spacing w:after="0"/>
              <w:rPr>
                <w:sz w:val="18"/>
                <w:szCs w:val="18"/>
                <w:color w:val="auto"/>
              </w:rPr>
            </w:pPr>
          </w:p>
        </w:tc>
        <w:tc>
          <w:tcPr>
            <w:tcW w:w="10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1"/>
                <w:szCs w:val="21"/>
                <w:color w:val="auto"/>
              </w:rPr>
            </w:pPr>
          </w:p>
        </w:tc>
        <w:tc>
          <w:tcPr>
            <w:tcW w:w="10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1"/>
                <w:szCs w:val="21"/>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6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Borders>
              <w:bottom w:val="single" w:sz="8" w:color="CCEEFF"/>
            </w:tcBorders>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10,800,000</w:t>
            </w: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282,317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3,046,929</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4,137,521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145,884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4,283,405</w:t>
            </w:r>
          </w:p>
        </w:tc>
        <w:tc>
          <w:tcPr>
            <w:tcW w:w="0" w:type="dxa"/>
            <w:vAlign w:val="bottom"/>
          </w:tcPr>
          <w:p>
            <w:pPr>
              <w:spacing w:after="0"/>
              <w:rPr>
                <w:sz w:val="1"/>
                <w:szCs w:val="1"/>
                <w:color w:val="auto"/>
              </w:rPr>
            </w:pPr>
          </w:p>
        </w:tc>
      </w:tr>
      <w:tr>
        <w:trPr>
          <w:trHeight w:val="198"/>
        </w:trPr>
        <w:tc>
          <w:tcPr>
            <w:tcW w:w="2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 at December 31,</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19,650,000</w:t>
            </w:r>
          </w:p>
        </w:tc>
        <w:tc>
          <w:tcPr>
            <w:tcW w:w="8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19,337,037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808,276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4,792,818</w:t>
            </w: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24,938,131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197,264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25,135,395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transaction reflect changes in a parent’s ownership interest in a subsidiary that do not result in the parent losing control of the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4"/>
        </w:trPr>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Convenience</w:t>
            </w:r>
          </w:p>
        </w:tc>
        <w:tc>
          <w:tcPr>
            <w:tcW w:w="10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Translation</w:t>
            </w:r>
          </w:p>
        </w:tc>
      </w:tr>
      <w:tr>
        <w:trPr>
          <w:trHeight w:val="245"/>
        </w:trPr>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for the year</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4,656,301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7,165,510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7,294,213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1,797,268</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46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9"/>
              </w:rPr>
              <w:t>Adjustments to reconcile net profit to net cash used in operating</w:t>
            </w:r>
          </w:p>
        </w:tc>
        <w:tc>
          <w:tcPr>
            <w:tcW w:w="14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activities:</w:t>
            </w:r>
          </w:p>
        </w:tc>
        <w:tc>
          <w:tcPr>
            <w:tcW w:w="5120" w:type="dxa"/>
            <w:vAlign w:val="bottom"/>
            <w:tcBorders>
              <w:bottom w:val="single" w:sz="8" w:color="CCEEFF"/>
            </w:tcBorders>
            <w:gridSpan w:val="2"/>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401,600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(52,927)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(416,057)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(102,515)</w:t>
            </w: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1,639,079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1,687,992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3,575,849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881,076</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102,379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52,888</w:t>
            </w: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of lease liability</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10,041</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164,491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246,123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60,644</w:t>
            </w: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charges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26,804</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1,366,789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2,372,883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2,366,095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582,997</w:t>
            </w: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(662,701)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Expected credit loss (ECL), net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(90,205)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302,921</w:t>
            </w: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plant &amp; equipment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2,474,094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609,608</w:t>
            </w:r>
          </w:p>
        </w:tc>
      </w:tr>
      <w:tr>
        <w:trPr>
          <w:trHeight w:val="249"/>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r>
      <w:tr>
        <w:trPr>
          <w:trHeight w:val="210"/>
        </w:trPr>
        <w:tc>
          <w:tcPr>
            <w:tcW w:w="602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12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7"/>
              </w:rPr>
              <w:t>7,646,731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11,612,600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17,128,651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4,220,439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(1,139,340)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(6,418,937)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(2,795,250)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(688,740)</w:t>
            </w: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prepayment (cash related)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(6,032,450)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3,208,914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2,358,203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581,053</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225,925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479,896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576,616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142,077</w:t>
            </w:r>
          </w:p>
        </w:tc>
      </w:tr>
      <w:tr>
        <w:trPr>
          <w:trHeight w:val="216"/>
        </w:trPr>
        <w:tc>
          <w:tcPr>
            <w:tcW w:w="6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(423,787)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82,560</w:t>
            </w:r>
          </w:p>
        </w:tc>
      </w:tr>
      <w:tr>
        <w:trPr>
          <w:trHeight w:val="237"/>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1,823,535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(2,691,244)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1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2,489,019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5,767,442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17,603,290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921" w:orient="portrait"/>
          <w:cols w:equalWidth="0" w:num="1">
            <w:col w:w="11240"/>
          </w:cols>
          <w:pgMar w:left="320" w:top="873" w:right="3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tax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plant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of cash on disposal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from disposal of plant and equipment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share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ordinary shares upon IPO,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lease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fixed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Overdraft charges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Loan interest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Placement of fixed 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from/(repayment to)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from/(repayment to)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disclosures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right="660" w:hanging="179"/>
        <w:spacing w:after="0" w:line="250" w:lineRule="auto"/>
        <w:rPr>
          <w:sz w:val="20"/>
          <w:szCs w:val="20"/>
          <w:color w:val="auto"/>
        </w:rPr>
      </w:pPr>
      <w:r>
        <w:rPr>
          <w:rFonts w:ascii="Times New Roman" w:cs="Times New Roman" w:eastAsia="Times New Roman" w:hAnsi="Times New Roman"/>
          <w:sz w:val="18"/>
          <w:szCs w:val="18"/>
          <w:i w:val="1"/>
          <w:iCs w:val="1"/>
          <w:color w:val="auto"/>
        </w:rPr>
        <w:t>These transactions did not involve cash flows and are therefore excluded from the statement of cash flows in accordance with IAS 7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Class A ordinary shares for professional services</w:t>
      </w:r>
    </w:p>
    <w:p>
      <w:pPr>
        <w:spacing w:after="0" w:line="9" w:lineRule="exact"/>
        <w:rPr>
          <w:sz w:val="20"/>
          <w:szCs w:val="20"/>
          <w:color w:val="auto"/>
        </w:rPr>
      </w:pPr>
    </w:p>
    <w:p>
      <w:pPr>
        <w:ind w:left="180" w:right="560" w:hanging="179"/>
        <w:spacing w:after="0" w:line="250" w:lineRule="auto"/>
        <w:rPr>
          <w:sz w:val="20"/>
          <w:szCs w:val="20"/>
          <w:color w:val="auto"/>
        </w:rPr>
      </w:pPr>
      <w:r>
        <w:rPr>
          <w:rFonts w:ascii="Times New Roman" w:cs="Times New Roman" w:eastAsia="Times New Roman" w:hAnsi="Times New Roman"/>
          <w:sz w:val="18"/>
          <w:szCs w:val="18"/>
          <w:color w:val="auto"/>
        </w:rPr>
        <w:t>Issuance of Class A ordinary shares for consultant services (recognized as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1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2320" cy="271780"/>
                    </a:xfrm>
                    <a:prstGeom prst="rect">
                      <a:avLst/>
                    </a:prstGeom>
                    <a:noFill/>
                  </pic:spPr>
                </pic:pic>
              </a:graphicData>
            </a:graphic>
          </wp:anchor>
        </w:drawing>
      </w:r>
    </w:p>
    <w:p>
      <w:pPr>
        <w:ind w:left="180" w:right="1080" w:hanging="179"/>
        <w:spacing w:after="0" w:line="260" w:lineRule="auto"/>
        <w:rPr>
          <w:sz w:val="20"/>
          <w:szCs w:val="20"/>
          <w:color w:val="auto"/>
        </w:rPr>
      </w:pPr>
      <w:r>
        <w:rPr>
          <w:rFonts w:ascii="Times New Roman" w:cs="Times New Roman" w:eastAsia="Times New Roman" w:hAnsi="Times New Roman"/>
          <w:sz w:val="18"/>
          <w:szCs w:val="18"/>
          <w:color w:val="auto"/>
        </w:rPr>
        <w:t>Issuance of Class A ordinary shares for licensing (recognized as prepayments)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(29,843)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(2,700)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(1,043,652)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(257,152)</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2,459,176</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5,764,742</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16,559,638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4,080,237</w:t>
            </w:r>
          </w:p>
        </w:tc>
        <w:tc>
          <w:tcPr>
            <w:tcW w:w="60" w:type="dxa"/>
            <w:vAlign w:val="bottom"/>
          </w:tcPr>
          <w:p>
            <w:pPr>
              <w:spacing w:after="0"/>
              <w:rPr>
                <w:sz w:val="19"/>
                <w:szCs w:val="19"/>
                <w:color w:val="auto"/>
              </w:rPr>
            </w:pPr>
          </w:p>
        </w:tc>
      </w:tr>
      <w:tr>
        <w:trPr>
          <w:trHeight w:val="630"/>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(5,524,353)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(4,894,732)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(29,241,319)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(7,204,957)</w:t>
            </w:r>
          </w:p>
        </w:tc>
      </w:tr>
      <w:tr>
        <w:trPr>
          <w:trHeight w:val="230"/>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(27,620)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41"/>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833,172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205,291</w:t>
            </w:r>
          </w:p>
        </w:tc>
        <w:tc>
          <w:tcPr>
            <w:tcW w:w="60" w:type="dxa"/>
            <w:vAlign w:val="bottom"/>
          </w:tcPr>
          <w:p>
            <w:pPr>
              <w:spacing w:after="0"/>
              <w:rPr>
                <w:sz w:val="20"/>
                <w:szCs w:val="20"/>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(5,551,973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(4,894,732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(28,408,147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(6,999,666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30"/>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645,380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16"/>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20,039,124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4,937,568</w:t>
            </w:r>
          </w:p>
        </w:tc>
        <w:tc>
          <w:tcPr>
            <w:tcW w:w="60" w:type="dxa"/>
            <w:vAlign w:val="bottom"/>
          </w:tcPr>
          <w:p>
            <w:pPr>
              <w:spacing w:after="0"/>
              <w:rPr>
                <w:sz w:val="18"/>
                <w:szCs w:val="18"/>
                <w:color w:val="auto"/>
              </w:rPr>
            </w:pPr>
          </w:p>
        </w:tc>
      </w:tr>
      <w:tr>
        <w:trPr>
          <w:trHeight w:val="216"/>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(104,784)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(57,084)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(293,146)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(72,230)</w:t>
            </w:r>
          </w:p>
        </w:tc>
      </w:tr>
      <w:tr>
        <w:trPr>
          <w:trHeight w:val="216"/>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(807,093)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(43,174)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r>
      <w:tr>
        <w:trPr>
          <w:trHeight w:val="216"/>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(59,964)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(111,620)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(108,785)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(26,804)</w:t>
            </w:r>
          </w:p>
        </w:tc>
      </w:tr>
      <w:tr>
        <w:trPr>
          <w:trHeight w:val="216"/>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(330,610)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(646,754)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(730,182)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(179,914)</w:t>
            </w:r>
          </w:p>
        </w:tc>
      </w:tr>
      <w:tr>
        <w:trPr>
          <w:trHeight w:val="216"/>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(164,491)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(262,176)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(246,123)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(60,644)</w:t>
            </w:r>
          </w:p>
        </w:tc>
      </w:tr>
      <w:tr>
        <w:trPr>
          <w:trHeight w:val="216"/>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2,699,992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615,991</w:t>
            </w:r>
          </w:p>
        </w:tc>
        <w:tc>
          <w:tcPr>
            <w:tcW w:w="60" w:type="dxa"/>
            <w:vAlign w:val="bottom"/>
          </w:tcPr>
          <w:p>
            <w:pPr>
              <w:spacing w:after="0"/>
              <w:rPr>
                <w:sz w:val="18"/>
                <w:szCs w:val="18"/>
                <w:color w:val="auto"/>
              </w:rPr>
            </w:pPr>
          </w:p>
        </w:tc>
      </w:tr>
      <w:tr>
        <w:trPr>
          <w:trHeight w:val="216"/>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(123,198)</w:t>
            </w:r>
          </w:p>
        </w:tc>
      </w:tr>
      <w:tr>
        <w:trPr>
          <w:trHeight w:val="216"/>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1,063,118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30,852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5"/>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550,351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(137,181)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3,522,751</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20,639,425</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5,085,481</w:t>
            </w:r>
          </w:p>
        </w:tc>
        <w:tc>
          <w:tcPr>
            <w:tcW w:w="60" w:type="dxa"/>
            <w:vAlign w:val="bottom"/>
          </w:tcPr>
          <w:p>
            <w:pPr>
              <w:spacing w:after="0"/>
              <w:rPr>
                <w:sz w:val="19"/>
                <w:szCs w:val="19"/>
                <w:color w:val="auto"/>
              </w:rPr>
            </w:pPr>
          </w:p>
        </w:tc>
      </w:tr>
      <w:tr>
        <w:trPr>
          <w:trHeight w:val="414"/>
        </w:trPr>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429,954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611,135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8,790,916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2,166,052</w:t>
            </w:r>
          </w:p>
        </w:tc>
        <w:tc>
          <w:tcPr>
            <w:tcW w:w="60" w:type="dxa"/>
            <w:vAlign w:val="bottom"/>
          </w:tcPr>
          <w:p>
            <w:pPr>
              <w:spacing w:after="0"/>
              <w:rPr>
                <w:sz w:val="24"/>
                <w:szCs w:val="24"/>
                <w:color w:val="auto"/>
              </w:rPr>
            </w:pPr>
          </w:p>
        </w:tc>
      </w:tr>
      <w:tr>
        <w:trPr>
          <w:trHeight w:val="255"/>
        </w:trPr>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(670,960)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(241,006)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370,129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91,198</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(241,006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370,129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9,161,045</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2,257,250</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70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1,740,206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428,781</w:t>
            </w:r>
          </w:p>
        </w:tc>
      </w:tr>
      <w:tr>
        <w:trPr>
          <w:trHeight w:val="432"/>
        </w:trPr>
        <w:tc>
          <w:tcPr>
            <w:tcW w:w="70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12,612,260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3,107,617</w:t>
            </w:r>
          </w:p>
        </w:tc>
      </w:tr>
      <w:tr>
        <w:trPr>
          <w:trHeight w:val="432"/>
        </w:trPr>
        <w:tc>
          <w:tcPr>
            <w:tcW w:w="70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8,262,048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2,035,739</w:t>
            </w:r>
          </w:p>
        </w:tc>
      </w:tr>
    </w:tbl>
    <w:p>
      <w:pPr>
        <w:sectPr>
          <w:pgSz w:w="11900" w:h="16921" w:orient="portrait"/>
          <w:cols w:equalWidth="0" w:num="2">
            <w:col w:w="5700" w:space="320"/>
            <w:col w:w="5220"/>
          </w:cols>
          <w:pgMar w:left="320" w:top="873" w:right="339" w:bottom="0" w:gutter="0" w:footer="0" w:header="0"/>
          <w:type w:val="continuous"/>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ordinary shares for server infrastructure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28,483,410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7,018,211</w:t>
            </w: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as prepayments)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ordinary shares for project management services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as prepayments)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6,196,536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1,526,804</w:t>
            </w:r>
          </w:p>
        </w:tc>
      </w:tr>
      <w:tr>
        <w:trPr>
          <w:trHeight w:val="27"/>
        </w:trPr>
        <w:tc>
          <w:tcPr>
            <w:tcW w:w="60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Sagtec Global Limited (the “Company”) was incorporated in the British Virgin Islands on October 31, 2023 with registered office at Vistra Corporate Services Centre, Wickhams Cay II, Road Town, Tortola, VG1110, British Virgin Islands while principal place of business of the Company at Lot 6-2, Level 9, Equatorial Plaza, Jalan Sultan Ismail, 50250 Kuala Lumpur, Malaysia.</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ultimate controlling party is Ng Chen Lok. The group structure which represents the operating subsidiaries and dormant companies as of the reporting date is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114300</wp:posOffset>
            </wp:positionV>
            <wp:extent cx="4869180" cy="1491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486918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 and its subsidiaries (collectively, the “Group”) are shown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Percentage of effective ownership</w:t>
            </w:r>
          </w:p>
        </w:tc>
        <w:tc>
          <w:tcPr>
            <w:tcW w:w="2240" w:type="dxa"/>
            <w:vAlign w:val="bottom"/>
            <w:tcBorders>
              <w:bottom w:val="single" w:sz="8" w:color="auto"/>
            </w:tcBorders>
          </w:tcPr>
          <w:p>
            <w:pPr>
              <w:spacing w:after="0"/>
              <w:rPr>
                <w:sz w:val="21"/>
                <w:szCs w:val="21"/>
                <w:color w:val="auto"/>
              </w:rPr>
            </w:pPr>
          </w:p>
        </w:tc>
      </w:tr>
      <w:tr>
        <w:trPr>
          <w:trHeight w:val="223"/>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40" w:type="dxa"/>
            <w:vAlign w:val="bottom"/>
            <w:tcBorders>
              <w:bottom w:val="single" w:sz="8" w:color="auto"/>
            </w:tcBorders>
          </w:tcPr>
          <w:p>
            <w:pPr>
              <w:spacing w:after="0"/>
              <w:rPr>
                <w:sz w:val="19"/>
                <w:szCs w:val="19"/>
                <w:color w:val="auto"/>
              </w:rPr>
            </w:pPr>
          </w:p>
        </w:tc>
      </w:tr>
      <w:tr>
        <w:trPr>
          <w:trHeight w:val="19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Date of</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Place of</w:t>
            </w:r>
          </w:p>
        </w:tc>
        <w:tc>
          <w:tcPr>
            <w:tcW w:w="2240" w:type="dxa"/>
            <w:vAlign w:val="bottom"/>
          </w:tcPr>
          <w:p>
            <w:pPr>
              <w:ind w:left="740"/>
              <w:spacing w:after="0" w:line="194" w:lineRule="exact"/>
              <w:rPr>
                <w:sz w:val="20"/>
                <w:szCs w:val="20"/>
                <w:color w:val="auto"/>
              </w:rPr>
            </w:pPr>
            <w:r>
              <w:rPr>
                <w:rFonts w:ascii="Times New Roman" w:cs="Times New Roman" w:eastAsia="Times New Roman" w:hAnsi="Times New Roman"/>
                <w:sz w:val="18"/>
                <w:szCs w:val="18"/>
                <w:b w:val="1"/>
                <w:bCs w:val="1"/>
                <w:color w:val="auto"/>
              </w:rPr>
              <w:t>Principal</w:t>
            </w:r>
          </w:p>
        </w:tc>
      </w:tr>
      <w:tr>
        <w:trPr>
          <w:trHeight w:val="24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2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216"/>
        </w:trPr>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Sagtec Global Limited</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Sagtec Group Sdn Bhd</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June 11,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98.04</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Food &amp; beverage SAAS</w:t>
            </w: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 Technologies (International) Sdn Bhd</w:t>
            </w:r>
          </w:p>
        </w:tc>
        <w:tc>
          <w:tcPr>
            <w:tcW w:w="18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February 14, 2019</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Malaysia</w:t>
            </w:r>
          </w:p>
        </w:tc>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Food &amp; beverage software &amp;</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94.95</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 hosting</w:t>
            </w: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develops IT products, services, and solutions using the subscription as a service model, generating stable and sustainable revenue from our SaaS offerings.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described above, the Company, through a series of transactions which is accounted for as a reorganization of entities under a common control (the “Reorganization”), will become the ultimate parent of its subsidiaries.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Through the reorganization, the Company will be the holding company of its subsidiaries. Accordingly, the consolidated financial statements will be prepared on a consolidated basis by applying the principle of common control as if the reorganization has been completed at the beginning of the first reporting period.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Based on the above, the Group concluded that the Company and its subsidiaries are effectively controlled by the shareholder before and after the Reorganization and the Reorganization is considered under common control. The transactions above were accounted for as a recapitalization. The consolidation of the Company and its subsidiaries has been accounted for at carrying value and prepared on the basis as if the aforementioned transactions had become effective as of the beginning of the first period presented in the accompanying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right="7400" w:hanging="652"/>
        <w:spacing w:after="0" w:line="503" w:lineRule="auto"/>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 BASIS OF PREPARATION</w:t>
      </w: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the historical cost basis, except as disclosed in the accounting policies below, and are drawn up in accordance with the provisions of the International Financial Reporting Standards (“IFRSs”) as issued by the International Accounting Standards Board (“IASB”) for the years ended December 31, 2025 and 2024.</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for the years ended December 31, 2025 and 2024 should be read in conjunction with the Group’s last audited annual consolidated financial statements for the years ended December 31, 2024 and 2023. They do not include all the information and disclosures required for a complete set of financial statements prepared in accordance with IFRS Accounting Standard. However, selected explanatory notes are included to explain events and transactions that are significant to an understanding of the changes in the Group’s financial position and performance since last annual consolidated financial statements.</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Historical cost is generally based on the fair value of the consideration given in exchange for goods and services.</w:t>
      </w:r>
    </w:p>
    <w:p>
      <w:pPr>
        <w:spacing w:after="0" w:line="225" w:lineRule="exact"/>
        <w:rPr>
          <w:rFonts w:ascii="Times New Roman" w:cs="Times New Roman" w:eastAsia="Times New Roman" w:hAnsi="Times New Roman"/>
          <w:sz w:val="18"/>
          <w:szCs w:val="18"/>
          <w:b w:val="1"/>
          <w:bCs w:val="1"/>
          <w:color w:val="auto"/>
        </w:rPr>
      </w:pPr>
    </w:p>
    <w:p>
      <w:pPr>
        <w:ind w:left="660" w:right="1860"/>
        <w:spacing w:after="0" w:line="49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were approved by the board of directors of the Company on December 31, 2025. The board of directors has the power to amend the financial statements after issue.</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AND REVISED STANDARDS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 2025 the Group has adopted the new or amended IFRS and interpretations issued by the IFRS interpretations Committee (IFRS IC) that are mandatory for application for the fiscal year. Changes to the Group’s accounting policies have been made as required, in accordance with the transitional provisions in the respective IFRS and IFRS IC.</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adoption of these new or amended IFRS and IFRS IC did not result in substantial changes to the Group’s accounting policies and had no material effect on the amounts reported for the current or prior financial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CONTROL &amp; MERGER ACCOUNTING</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of entities, businesses or assets under common control are accounted for in accordance with merger accounting.</w:t>
      </w:r>
    </w:p>
    <w:p>
      <w:pPr>
        <w:spacing w:after="0" w:line="225"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incorporate the financial statements of the consolidated entities or businesses in which the common control consolidation occurs as if they had been consolidated from the date when the consolidation entities or businesses first came under the control of the controlling party.</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prepared using uniform accounting policies for like transactions and other events in similar circumstances.</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intra-group balances, transactions, income and expenses are eliminated in full on consolidation and the consolidated financial statements reflect external transactions only.</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assets of the consolidated entities or businesses are consolidated using the existing carrying amounts from the controlling party’s perspective. No amount is recognized in respect of goodwill or excess of the acquirer’s interest in the net fair value of acquiree’s identifiable assets, liabilities and contingent liabilities over the acquisition cost at the time of common control consolidation. All differences between the cost of acquisition (fair value of consideration paid) and the amounts at which the assets and liabilities are recorded, arising from common control consolidation, have been recognized directly in equity as part of the capital reserve.</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statements of profit or loss and other comprehensive income include the results of each of the consolidation entities or businesses from the earliest date presented or since the date when the consolidated entities or businesses first came under the common control, where this is a shorter period, regardless of the date of the common control consolidation.</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Subsidiaries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 are entities controlled by the Group. The Group controls and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that control commences until the date that control ceases.</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Loss of control</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loss of control, the Group derecognizes the assets and liabilities of the subsidiary, any NCI, and the other components of equity related to the subsidiary. Any surplus or deficit arising on the loss of control is recognized in profit or loss. If the Group retains any interest in the former subsidiary, then such interest is measured at fair value at the date that control is lost.</w:t>
      </w:r>
    </w:p>
    <w:p>
      <w:pPr>
        <w:spacing w:after="0" w:line="1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Translations of amounts in the consolidated statement of financial position, consolidated statements of profit or loss and other comprehensive income, and consolidated statement of cash flows from RM into USD as of and for the year ended December 31, 2025 are solely for the convenience of the reader. Unless otherwise noted, all translations from RM into USD for the fiscal year ended December 31, 2025 were calculated at of USD1 = RM 4.0585.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right="828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FINANCIAL ASSETS </w:t>
      </w:r>
      <w:r>
        <w:rPr>
          <w:rFonts w:ascii="Times New Roman" w:cs="Times New Roman" w:eastAsia="Times New Roman" w:hAnsi="Times New Roman"/>
          <w:sz w:val="17"/>
          <w:szCs w:val="17"/>
          <w:i w:val="1"/>
          <w:iCs w:val="1"/>
          <w:u w:val="single" w:color="auto"/>
          <w:color w:val="auto"/>
        </w:rPr>
        <w:t>Classification and measurement</w:t>
      </w:r>
    </w:p>
    <w:p>
      <w:pPr>
        <w:spacing w:after="0" w:line="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assets are recognized when a Group entity becomes a party to the contractual provisions of the instrument. All regular way purchases or sales of financial assets are recognized and derecognized on a trade date basis. Regular way purchases or sales are purchases or sales of financial assets that require delivery of assets within the time frame established by regulation or convention in the market place.</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assets are initially measured at fair value except for trade receivables arising from contracts with customers which are initially measured in accordance with IFRS 15 Revenue from Contracts with Customers (“IFRS 15”). Transaction costs that are directly attributable to the acquisition of financial assets (other than financial assets at fair value through profit or loss (“FVTPL”)) are added to the fair value of the financial assets, as appropriate, on initial recognition. Transaction costs directly attributable to the acquisition of financial assets at fair value through profit or loss are recognized immediately in consolidated statement of profit or loss. The Group classifies its financial assets at fair value through other comprehensive income, fair value through profit and loss and amortized cost.</w:t>
      </w:r>
    </w:p>
    <w:p>
      <w:pPr>
        <w:spacing w:after="0" w:line="18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classification depends on the Group’s business model for managing the financial assets as well as the contractual terms of the cash flows of the financial assets.</w:t>
      </w:r>
    </w:p>
    <w:p>
      <w:pPr>
        <w:spacing w:after="0" w:line="161"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Fair Value through Profit or Loss (FVTPL) are initially recorded at fair value and transaction costs are expensed in the statements of income and comprehensive income. Realized and unrealized gains and income arising from changes in the fair value of the financial asset held at FVTPL are included in the statements of income and comprehensive income in the period in which they arise. There are no financial assets classified as FVTPL.</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Fair Value through Other Comprehensive Income (FVTOCI) are initially recognized at fair value plus transaction costs. Subsequently they are measured at fair value, with gains and losses arising from changes in fair value recognized in other comprehensive income. There is no subsequent reclassification of fair value gains and losses to profit or loss following the derecognition of the investment. There are no financial assets classified as FVTOCI.</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amortized cost are initially recognized at fair value, net of transaction costs, and subsequently carried at amortized cost less any impairment. They are classified as current assets or non- current assets based on their maturity date. The Company has classified trade receivables, other receivables and amounts due from related parties at amortized cost.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Impairment</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assesses at end of each reporting period whether there is objective evidence that a financial asset or group of financial assets is impaired.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recognizes expected credit losses (“ECL”) for accounts receivable based on the simplified approach. The simplified approach to the recognition of expected losses does not require the Company to track the changes in credit risk; rather, the Company recognizes a loss allowance based on lifetime expected credit losses at each reporting date from the date of the accounts receivable.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assesses expected credit losses for other receivables, including amounts due from directors, shareholders and related parties, based on a 12-month expected credit loss model at each reporting date. As at the reporting date, no loss allowance has been recognized as the expected credit losses are not material and there has been no significant increase in credit risk.</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measures expected credit loss by considering the risk of default over the contract period and incorporates forward-looking information into its measurement. ECLs are a probability-weighted estimate of credit losses.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ECLs are measured as the difference in the present value of the contractual cash flows that are due to the Company under the contract, and the cash flows that the Company expects to receive. The Company assesses all information available, including past due status, and forward looking macro- economic factors in the measurement of the ECLs associated with its assets carried at amortized cost.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maximum period considered when estimating ECLs is the maximum contractual period over which the Company is exposed to credit risk.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right="6880" w:hanging="652"/>
        <w:spacing w:after="0" w:line="503" w:lineRule="auto"/>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Derecognition of financial assets</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derecognizes a financial asset only when the contractual rights to the cash flow from the asset expire, or when it transfers the financial asset and substantially all the risks and rewards of ownership of asset to another entity.</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derecognition of a financial asset measured at amortized cost, the difference between the asset’s carrying amount and the sum of the consideration received and receivable is recognized in profit or loss.</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LIABILITIES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liabilities are classified as either financial liabilities at FVTPL or at amortized cost. The Group determines the classification of its financial liabilities at initial recognition.</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liabilities are classified as measured at amortized cost, net of transaction costs unless classified as FVTPL. The Group trade payables, other payables and accrued liabilities, amounts due to related parties, lease liabilities and bank loans are classified as measured at amortized cost.</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Derecognition of financial liabilities</w:t>
      </w:r>
    </w:p>
    <w:p>
      <w:pPr>
        <w:spacing w:after="0" w:line="22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derecognizes financial liabilities when, and only when, the Group’s obligation are discharged, cancelled or expired. The difference between the carrying amount of the financial liability derecognized and the consideration paid and payable is recognized in profit or loss.</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Plant and equipment is recognized and subsequently measured at cost less accumulated depreciation and any accumulated impairment losses, if any. When components of property and equipment have different useful lives they are accounted for separately. Depreciation is provided at rates which are calculated to write off the assets over their estimated useful lives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handphone</w:t>
            </w:r>
          </w:p>
        </w:tc>
        <w:tc>
          <w:tcPr>
            <w:tcW w:w="5620" w:type="dxa"/>
            <w:vAlign w:val="bottom"/>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w w:val="98"/>
              </w:rPr>
              <w:t>5 years straight line</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machine</w:t>
            </w:r>
          </w:p>
        </w:tc>
        <w:tc>
          <w:tcPr>
            <w:tcW w:w="562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rPr>
              <w:t>10 years straight line</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5620" w:type="dxa"/>
            <w:vAlign w:val="bottom"/>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rPr>
              <w:t>10 years straight line</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62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w w:val="98"/>
              </w:rPr>
              <w:t>Over term of lease</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Renovation</w:t>
            </w:r>
          </w:p>
        </w:tc>
        <w:tc>
          <w:tcPr>
            <w:tcW w:w="5620" w:type="dxa"/>
            <w:vAlign w:val="bottom"/>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w w:val="98"/>
              </w:rPr>
              <w:t>Over term of lease</w:t>
            </w:r>
          </w:p>
        </w:tc>
      </w:tr>
    </w:tbl>
    <w:p>
      <w:pPr>
        <w:spacing w:after="0" w:line="19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Plant and equipment is derecognized upon disposal or when no future economic benefits are expected from its use. Any gain or loss arising from derecognition of the asset, being the difference between the net disposal proceeds and the carrying amount, is recognized in profit or loss.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IMPAIRMENT OF NON-FINANCIAL ASSETS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Impairment of assets are reviewed at the end of each reporting period for impairment when there is an indication that the assets might be impaired. Impairment is measured by comparing the carrying values of the assets with their recoverable amounts. When the carrying amount of an asset exceeds its recoverable amount, the asset is written down to its recoverable amount and an impairment loss shall be recognized. The recoverable amount of an asset is the higher of the asset’s fair value less costs to sell and its value in use, which is measured by reference to discounted future cash flows using a pre-tax discount rate that reflects current market assessments of the time value of money and the risks specific to the asset. An impairment loss is recognized in profit or loss.</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When there is a change in the estimates used to determine the recoverable amount, a subsequent increase in the recoverable amount of an asset is treated as a reversal of the previous impairment loss and is recognized to the extent of the carrying amount of the asset that would have been determined (net of amortization and depreciation) had no impairment loss been recognized. The reversal is recognized in profit or loss immediately.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The Group as leasee</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assesses whether a contract is or contains a lease, at inception of the contract. The Group recognizes a right-of-use asset and corresponding lease liability with respect to all lease arrangements in which it is the lessee, except for low-value assets and short-term leases with 12 months or less. For these leases, the Group recognizes the lease payments as an operating expense on a straight-line method over the term of the lease unless another systematic basis is more representative of the time pattern in which economic benefits from the leased assets are consumed.</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a right-of-use asset and a lease liability at the lease commencement date. The right-of-use assets and the associated lease liabilities are presented as a separate line item in the statements of financial position.</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Right-of-use asset</w:t>
      </w:r>
    </w:p>
    <w:p>
      <w:pPr>
        <w:spacing w:after="0" w:line="227"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right-of-use asset is initially measured at cost. Cost includes the initial amount of the corresponding lease liability adjusted for any lease payments made at or before the commencement date, plus any initial direct costs incurred, less any incentives received.</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right-of-use asset is subsequently measured at cost less accumulated depreciation and any impairment losses, and adjustment for any remeasurement of the lease liability. The depreciation starts from the commencement date of the lease. If the lease transfers ownership of the underlying asset to the Group or the cost of the right-of-use asset reflects that the Group expects to exercise a purchase option, the related right-of-use asset is depreciated over the useful life of the underlying asset. Otherwise, the Group depreciates the right-of-use asset to the earlier of the end of the useful life of the right-of-use asset or the end of the lease term. The estimated useful lives of the right-of-use assets are determined on the same basis as those plant and equipment.</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Lease liability</w:t>
      </w:r>
    </w:p>
    <w:p>
      <w:pPr>
        <w:spacing w:after="0" w:line="22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by using the rate implicit in the lease. If this rate cannot be readily determined, the Group uses its incremental borrowing rate.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lease liability is subsequently measured at amortized cost using the effective interest method. It is remeasured when there is a change in the future lease payments (other than lease modification that is not accounted for as a separate lease) with the corresponding adjustment is made to the carrying amount of the right-of-use asset, or is recognized in profit or loss if the carrying amount has been reduced to zero.</w:t>
      </w:r>
    </w:p>
    <w:p>
      <w:pPr>
        <w:spacing w:after="0" w:line="1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past events, when it is probable that an outflow of resources embodying economic benefits will be required to settle the obligation, and when a reliable estimate of the amount can be made. Provisions are reviewed at the end of each reporting period and adjusted to reflect the current best estimate. Where the effect of the time value of money is material, the provision is the present value of the estimated expenditure required to settle the obligation. The discount rate shall be a pre-tax rate that reflects current market assessments of the time value of money and the risks specific to the liability. The unwinding of the discount is recognized as interest expense in profit or loss.</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Provision for warranties</w:t>
      </w:r>
    </w:p>
    <w:p>
      <w:pPr>
        <w:spacing w:after="0" w:line="227"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provides warranties for general repairs of defects. Provisions related to these assurance-type warranties are recognized when the product is sold. Initial recognition is based on historical experience. The estimate of warranty-related costs is revised annually.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660" w:right="47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Revenue is derived principally from services, tangible products, rental and others. </w:t>
      </w:r>
      <w:r>
        <w:rPr>
          <w:rFonts w:ascii="Times New Roman" w:cs="Times New Roman" w:eastAsia="Times New Roman" w:hAnsi="Times New Roman"/>
          <w:sz w:val="18"/>
          <w:szCs w:val="18"/>
          <w:i w:val="1"/>
          <w:iCs w:val="1"/>
          <w:u w:val="single" w:color="auto"/>
          <w:color w:val="auto"/>
        </w:rPr>
        <w:t>Revenue from services</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services is recognized over time in the year in which the services rendered.</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receivable is recognized when the services are rendered as this is the point in time that the consideration is unconditional because only the passage of time is required before the payment is due.</w:t>
      </w:r>
    </w:p>
    <w:p>
      <w:pPr>
        <w:spacing w:after="0" w:line="161"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from Speed + Pos software and QR ordering system, which allow our subscribers to gain access to our software. Performance obligation includes to ensure subscribers accessibility, bundled with training, maintenance and support on recurring basis, measured on time elapsed, renewed on monthly basis.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consultant and development services cater for customers seeks to customized point of sales system. Performance obligation includes the design and build of software-based systems, integration of hardware and software solutions, running and maintaining of IT infrastructure and procurement services. In all cases, the Company assesses if the multiple obligations should be accounted for as separate performance obligations or combined into a single performance obligation. The Company generally separates multiple obligations in a contract as separate performance obligations if those obligations are distinct, both individually and in the context of the contract. If multiple obligations in a contract are highly interrelated or require significant integration or customization within a group, they are combined and accounted for as a single performance obligation, measured on contract milestone. Contract duration range from two weeks to two months.</w:t>
      </w:r>
    </w:p>
    <w:p>
      <w:pPr>
        <w:spacing w:after="0" w:line="19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management services, involves content creation, engagement, and advertising management. These services are considered as single performance obligation contracted to be delivered over a period of time, measured on time elapsed, renewed on monthly basis.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and analysis services, involves handling and processing data to extract valuable insights that can inform decision-making and improve business operations. These services are considered as single performance obligation, measured on time elapsed contracted to be deliver over a period of time, measured on time elapsed, renewed on monthly basis.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tangible products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Revenue from tangible products is recognized at a point in time when the goods have been delivered to the customer and upon its acceptance, and it is probable that the Group will collect the considerations to which it would be entitled to in exchange for the goods sold.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rental of machinery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from rental is recognized at a point in time, measured through time lapsed results in entitlement to collection of revenue.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Cash and cash equivalents comprise cash in hand, bank balances, demand deposits, and short-term, highly liquid investments that are readily convertible to known amounts of cash and which are subject to an insignificant risk of changes in value with original maturity periods of three months or less.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overdrafts are presented as current borrowings in the statements of financial position.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Ordinary Shares Ordinary shares are classified as equity. Incremental costs directly attributable to the issuance of new Class A Ordinary Shares are deducted against the share capital account.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PAYMENTS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equity-settled share-based payment transactions in accordance with IFRS 2 Share-based Payment.</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equity instruments are granted in exchange for goods or services received from non-employees, the transactions are measured at the fair value of the goods or services received, unless that fair value cannot be reliably measured, in which case the fair value of the equity instruments granted is used.</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services are received immediately, the corresponding expense is recognized in profit or loss. Where services or assets are to be received in the future, the amounts are recognized as prepayments and expensed or capitalised as the services are rendered or assets are received.</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Equity-settled share-based payments are recognized as an increase in equity.</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tax assets and liabilities are the expected amount of income tax recoverable or payable to the taxation authorities, measured using tax rates and tax laws that have been enacted or substantively enacted at the end of the reporting period and are recognized in profit or loss except to the extent that the tax relates to items recognized outside profit or loss (either in other comprehensive income or directly in equity).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recognized using the liability method for temporary differences other than those that arise from the initial recognition of an asset or liability in a transaction which is not a business combination and at the time of the transaction, affects neither accounting profit nor taxable profit.</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and liabilities are measured at the tax rates that are expected to apply in the period when the asset is realized or the liability is settled, based on the period.</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are recognized for all deductible temporary differences, unused tax losses and unused tax credits to the extent that it is probable that future taxable profits will be available against which the deductible temporary differences, unused tax losses and unused tax credits can be utilized. The carrying amounts of deferred tax assets are reviewed at the end of each reporting period and reduced to the extent that it is no longer probable that the related tax benefits will be realized.</w:t>
      </w:r>
    </w:p>
    <w:p>
      <w:pPr>
        <w:spacing w:after="0" w:line="17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deferred tax items are recognized in correlation to the underlying transactions either in profit or loss, other comprehensive income or directly in equity.</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tax assets and liabilities or deferred tax assets and liabilities are offset when there is a legally enforceable right to set off current tax assets against current tax liabilities and when the deferred taxes relate to the same taxable entity (or on different tax entities but they intend to settle current tax assets and liabilities on a net basis) and the same taxation authority.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right="862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EMPLOYEE BENEFITS </w:t>
      </w:r>
      <w:r>
        <w:rPr>
          <w:rFonts w:ascii="Times New Roman" w:cs="Times New Roman" w:eastAsia="Times New Roman" w:hAnsi="Times New Roman"/>
          <w:sz w:val="17"/>
          <w:szCs w:val="17"/>
          <w:i w:val="1"/>
          <w:iCs w:val="1"/>
          <w:u w:val="single" w:color="auto"/>
          <w:color w:val="auto"/>
        </w:rPr>
        <w:t>Defined contribution plan</w:t>
      </w:r>
    </w:p>
    <w:p>
      <w:pPr>
        <w:spacing w:after="0" w:line="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participates in Employees Provident Fund (EPF), Malaysia’s national defined contribution plan, employees are required to contribute a specified percentage of their monthly salary to the EPF, which is deducted from their salaries each month. The company also contributes a specified percentage based on the employees’ monthly salaries, as mandated by the EPF regulations. The Company’s contributions are recognized as an expense in the period when employees render related services, and this expense is recorded in the profit or loss statement under employee benefits expense. A liability is recognized for unpaid contributions at the end of each reporting period, representing amounts due to the EPF but not yet paid. Contributions are measured at the statutory rates applicable during the period. In the financial statements, the total amount of contributions made to the EPF during the reporting period is disclosed in the notes under employee benefits.</w:t>
      </w:r>
    </w:p>
    <w:p>
      <w:pPr>
        <w:spacing w:after="0" w:line="18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Actuarial risk (that benefits will be less than expected) and investment risk (that assets invested will be insufficient to meet expected benefits) fall, in substance, on the employee.</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offering costs are specific expenses incurred during the process of preparing for an offering of securities, including legal, accounting, underwriting, and other fees directly associated with the offering. These costs are initially recorded as an asset when incurred, provided it is probable that the offering will be successfully completed, and are capitalized as “Deferred Offering Costs” on the statement of financial position. Only direct and incremental costs clearly attributable to the offering are capitalized, while general and administrative expenses not directly related to the offering process are expensed as incurred. Upon successful completion of the offering, deferred offering costs are reclassified from the statement of financial position to the statement of comprehensive income and recognized as a reduction of the proceeds from the offering within equity. If it becomes probable that the offering will not be completed, all deferred offering costs are expensed immediately in the period this determination is made.</w:t>
      </w:r>
    </w:p>
    <w:p>
      <w:pPr>
        <w:spacing w:after="0" w:line="18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used by the Company is Malaysia Ringgit. Consequently, operations in currencies other than the Malaysian Ringgit are considered to be denominated in foreign currency and are recorded at the exchange rates in force on the dates of the operations.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year-end, monetary assets and liabilities denominated in foreign currency are converted by applying the exchange rate on the statement of financial position date. The profits or losses revealed are charged directly to the profit and loss account for the year in which they occur. Non-monetary items in foreign currency measured in terms of historical cost are converted at the exchange rate on the date of the transaction.</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exchange differences of the monetary items that arise both when liquidating them and when converting them at the closing exchange rate, are recognized in the results of the year, except those that are part of the investment of a business abroad, which are recognized directly in equity net of taxes until the time of its disposal.</w:t>
      </w:r>
    </w:p>
    <w:p>
      <w:pPr>
        <w:spacing w:after="0" w:line="1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income per share is calculated by dividing the income attributable to ordinary shareholders by the weighted average number of ordinary shares outstanding in the period. For all periods presented, the income attributable to ordinary shareholders equals the reported income attributable to owners of the Company.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income per share is calculated by the treasury stock method. Under the treasury stock method, the weighted average number of ordinary shares outstanding for the calculation of diluted income per share assumes that the proceeds to be received on the exercise of dilutive share options and warrants are used to repurchase ordinary shares at the average market price during the period.</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no potentially dilutive securities, such as options or warrants, currently issued and outstanding, as of December 31, 2025 and 2024.</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reported in a manner consistent with the internal reporting provided for decision maker, whose members are responsible for allocating resources and assessing the performance of the operating segments.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right="2460" w:hanging="652"/>
        <w:spacing w:after="0" w:line="503" w:lineRule="auto"/>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JUDGEMENTS AND KEY SOURCES OF ESTIMATION UNCERTAINTY BORROWING AND BORROWING COSTS</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Borrowings are classified as current liabilities unless the Group has the unconditional right to postpone settlement for at least 12 months after the statement of financial position date, in which case they are classified as non-current liabilities.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Borrowings are initially recorded at fair value, net of any transaction costs. They are then measured at amortized cost. The difference between the initial proceeds (after deducting transaction costs) and the repayment amount is recognized in profit or loss over the term of the borrowings using the effective interest rate method.</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Borrowing costs are recognized in profit or loss using the effective interest method except for borrowing costs that are directly attributable to the acquisition, construction or production of a qualifying asset form part of the cost of that asset.</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these consolidated financial statements in conformity with IFRS require the directors of the Company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Actual results may differ from these estimates.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have considered the development, selection and disclosure of the Group’s critical accounting judgements and estimates. 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Useful lives of plant and equipment</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management determines the estimated useful lives and the related depreciation charge for the Group’s plant and equipment. This estimate is based on the historical experience of the actual useful lives of plant and equipment of similar nature and functions. Management will increase the depreciation charge where useful lives are less than previously estimated lives, or will write off or write down technically obsolete or non-strategic assets that have been abandoned or sold. Actual economic lives may differ from estimated useful lives. Periodic review could result in a change in depreciable lives and therefore depreciation charge in the future periods.</w:t>
      </w:r>
    </w:p>
    <w:p>
      <w:pPr>
        <w:spacing w:after="0" w:line="18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Impairment of Trade Receivables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uses the simplified approach to estimate a lifetime expected credit loss allowance for all trade receivables. The Group develops the expected loss rates based on the payment profiles of past sales and the corresponding historical credit losses, and adjusts for qualitative and quantitative reasonable and supportable forward-looking information. If the expectation is different from the estimation, such difference will impact the carrying value of trade receivables. The information about the expected credit loss on the Group’s trade receivables is disclosed in Note 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Balance as at December 31, 2024 Issuance of ordinary shares upon IPO, net Issuance of ordinary shares Re-designation of ordinary shares into</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Class A and Class 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at December 31, 2025</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740" w:type="dxa"/>
            <w:vAlign w:val="bottom"/>
            <w:tcBorders>
              <w:top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80" w:type="dxa"/>
            <w:vAlign w:val="bottom"/>
            <w:tcBorders>
              <w:top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2440" w:type="dxa"/>
            <w:vAlign w:val="bottom"/>
            <w:tcBorders>
              <w:top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20" w:type="dxa"/>
            <w:vAlign w:val="bottom"/>
          </w:tcPr>
          <w:p>
            <w:pPr>
              <w:spacing w:after="0"/>
              <w:rPr>
                <w:sz w:val="21"/>
                <w:szCs w:val="21"/>
                <w:color w:val="auto"/>
              </w:rPr>
            </w:pPr>
          </w:p>
        </w:tc>
      </w:tr>
      <w:tr>
        <w:trPr>
          <w:trHeight w:val="237"/>
        </w:trPr>
        <w:tc>
          <w:tcPr>
            <w:tcW w:w="13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 (RM)</w:t>
            </w:r>
          </w:p>
        </w:tc>
        <w:tc>
          <w:tcPr>
            <w:tcW w:w="24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 (RM)</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 (RM)</w:t>
            </w:r>
          </w:p>
        </w:tc>
        <w:tc>
          <w:tcPr>
            <w:tcW w:w="20" w:type="dxa"/>
            <w:vAlign w:val="bottom"/>
          </w:tcPr>
          <w:p>
            <w:pPr>
              <w:spacing w:after="0"/>
              <w:rPr>
                <w:sz w:val="20"/>
                <w:szCs w:val="20"/>
                <w:color w:val="auto"/>
              </w:rPr>
            </w:pPr>
          </w:p>
        </w:tc>
      </w:tr>
      <w:tr>
        <w:trPr>
          <w:trHeight w:val="198"/>
        </w:trPr>
        <w:tc>
          <w:tcPr>
            <w:tcW w:w="1120" w:type="dxa"/>
            <w:vAlign w:val="bottom"/>
            <w:tcBorders>
              <w:top w:val="single" w:sz="8" w:color="auto"/>
            </w:tcBorders>
          </w:tcPr>
          <w:p>
            <w:pPr>
              <w:ind w:left="320"/>
              <w:spacing w:after="0" w:line="198" w:lineRule="exact"/>
              <w:rPr>
                <w:sz w:val="20"/>
                <w:szCs w:val="20"/>
                <w:color w:val="auto"/>
              </w:rPr>
            </w:pPr>
            <w:r>
              <w:rPr>
                <w:rFonts w:ascii="Times New Roman" w:cs="Times New Roman" w:eastAsia="Times New Roman" w:hAnsi="Times New Roman"/>
                <w:sz w:val="18"/>
                <w:szCs w:val="18"/>
                <w:color w:val="auto"/>
                <w:w w:val="96"/>
              </w:rPr>
              <w:t>10,800,000</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1,145,780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20,039,124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57,294,460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(10,800,000)</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(1,145,780)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933,242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212,538</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78, 266,826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212,538</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-916305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-633730</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-205105</wp:posOffset>
            </wp:positionV>
            <wp:extent cx="7132320"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20" w:space="240"/>
            <w:col w:w="7980"/>
          </w:cols>
          <w:pgMar w:left="320" w:top="873" w:right="339" w:bottom="1440" w:gutter="0" w:footer="0" w:header="0"/>
        </w:sect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successfully completed its initial public offering (IPO), issuing 1,750,000 new ordinary shares at an issue price of RM 18 per share, resulting in gross proceeds of RM 30,898,700 on 6 March 2025.</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shares issued are ordinary shares with no par value and carry the same rights and obligations as the existing shares, including equal rights to dividends, voting, and distribution of assets upon liquidation.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 incurred deferred offering costs amounting to RM 10,859,576. These costs, being directly attributable to the equity issuance, were deducted from equity in accordance with IAS 32 Financial Instruments: Presentation. As a result, the net proceeds recognized in equity amounted to RM 20,039,124.</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12 September 2025, the Company issued restricted 200,000 ordinary shares to Dennis O’Neill as consideration for professional services rendered in relation to investor and public relations planning. The transaction is accounted for as an equity-settled share-based payment in accordance with IFRS 2 Share-based Payment. As the services had been fully rendered at the grant date and no further service obligations exist, the fair value of the equity instruments granted amounting to RM 1,740,206 was recognized immediately in profit or loss, with a corresponding increase in equity. The shares were issued for nil cash consideration as part of a non-cash transaction.</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30 September 2025, the Company re-designated its ordinary shares into two classes, comprising 8,800,000 Class A ordinary shares and 2,000,000 Class B ordinary shares, both with no par value, pursuant to the approval of the Board of Directors on the same date.</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re-designation was undertaken to establish a dual-class share structure that supports the Company’s long-term strategic objectives. This structure enables the Company to maintain stability in key decision-making processes by granting enhanced voting rights to Class B ordinary shares, typically held by founders, key executives or strategic shareholders whose continued involvement is critical to the Company’s direction. At the same time, it allows the Company to provide Class A ordinary shares to existing and future investors without diluting control over fundamental corporate matters.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approach is common among growth-stage and technology-oriented companies seeking to balance capital-raising flexibility with preservation of strategic leadership oversight.</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24 September 2025, the Company entered into a consulting agreement with Tan Yee How for the provision of AI software development services relating to robotic arm machines. In consideration for the services to be rendered, the Company issued 1,400,000 restricted ordinary shares as non-cash consideration. The transaction is accounted for as an equity-settled share-based payment in accordance with IFRS 2 Share-based Payment. As at 31 December 2025, no services had been rendered. Accordingly, the fair value of the equity instruments granted, amounting to RM 12,612,260, was recognized as a prepayment, with a corresponding increase in equity. During the year, RM 630,612 was amortized and recognized in profit or loss. The remaining balance of RM 11,981,648 is presented as prepayments, of which RM 2,522,452 is classified as current assets and RM 9,459,196 as non-current assets.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ISSUANCES OF SHARES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services are to be provided over a 5-year period. As the services are expected to be received on a continuous basis and no specific milestones determine the pattern of delivery, the prepayment will be recognized in profit or loss on a straight-line basis over the service period as the services are rendered. The shares are subject to a 1-year lock-up restriction. The arrangement does not include milestone-based delivery or clawback provisions. This transaction represents a non-cash transaction and, as no cash consideration was exchanged, it has been excluded from the statement of cash flows.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7 November 2025, the Company entered into an arrangement with Kinetic Seas Incorporated for the provision of licensing rights, server infrastructure and project management services. In consideration, the Company issued 5,500,000 restricted ordinary shares as non-cash consideration. The transaction is accounted for as an equity-settled share-based payment in accordance with IFRS 2 Share-based Payment.</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the grant date to be 26 November 2025, being the date on which the arrangement was formally approved. Accordingly, the fair value of the equity instruments granted was measured at that date. The fair value of the shares issued amounted to RM 42,941,993.60 after applying a discount for lack of marketability. As at 31 December 2025, no services had been rendered and no assets had been delivered. Accordingly, the amount is recognized as prepayments, with a corresponding increase in equity, as follows:</w:t>
      </w:r>
    </w:p>
    <w:p>
      <w:pPr>
        <w:spacing w:after="0" w:line="179"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RM 8,262,047 was recognized as non-current prepayments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infrastructure: RM 28,483,410 was recognized as non-current prepayments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management services: RM 6,196,535 of which RM 103,275 was amortized during the year and recognized in profit or loss; the remaining balance is recognized as prepayments, comprising RM 1,239,306 classified as current assets and RM 4,853,954 as non-current assets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licensing and server infrastructure components will be recognized as intangible assets and property, plant and equipment respectively upon delivery, and subsequently amortized or depreciated over their estimated useful lives. Management has assessed that a useful life of 10 years is appropriate, reflecting the expected period over which economic benefits will be consumed. The project management services are to be provided over a 5-year period and are recognized in profit or loss on a straight-line basis as the services are rendered, reflecting the continuous nature of service delivery.</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shares are subject to transfer restrictions, including those under Rule 144, which limit the ability to dispose of the shares. The arrangement does not include milestone-based delivery or clawback provisions. This transaction represents a non-cash transaction and, as no cash consideration was exchanged, it has been excluded from the statement of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ISSUANCES OF SHARES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Differences Between Class A and Class B Ordinary Shares</w:t>
      </w:r>
    </w:p>
    <w:p>
      <w:pPr>
        <w:spacing w:after="0" w:line="229" w:lineRule="exact"/>
        <w:rPr>
          <w:rFonts w:ascii="Times New Roman" w:cs="Times New Roman" w:eastAsia="Times New Roman" w:hAnsi="Times New Roman"/>
          <w:sz w:val="18"/>
          <w:szCs w:val="18"/>
          <w:b w:val="1"/>
          <w:bCs w:val="1"/>
          <w:color w:val="auto"/>
        </w:rPr>
      </w:pPr>
    </w:p>
    <w:p>
      <w:pPr>
        <w:ind w:left="660" w:right="5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attached to Class A and Class B ordinary shares are set out in the Company’s Memorandum and Articles of Association (MAA). The principal difference between the two classes is voting rights, as summarized below:</w:t>
      </w:r>
    </w:p>
    <w:p>
      <w:pPr>
        <w:spacing w:after="0" w:line="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Class A ordinary shares: Each Class A Share confers one vote at any meeting of shareholders or on any shareholders’ resolution.</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Class B ordinary shares: Each Class B Share confers twenty votes at any meeting of shareholders or on any shareholders’ resolution.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25" w:lineRule="exact"/>
        <w:rPr>
          <w:rFonts w:ascii="Times New Roman" w:cs="Times New Roman" w:eastAsia="Times New Roman" w:hAnsi="Times New Roman"/>
          <w:sz w:val="18"/>
          <w:szCs w:val="18"/>
          <w:color w:val="auto"/>
        </w:rPr>
      </w:pPr>
    </w:p>
    <w:p>
      <w:pPr>
        <w:ind w:left="162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Both Class A and Class B Shares carry an equal entitlement to any distribution declared by the Company in accordance with the Act and the MAA.</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on Liquidation</w:t>
      </w:r>
    </w:p>
    <w:p>
      <w:pPr>
        <w:spacing w:after="0" w:line="225" w:lineRule="exact"/>
        <w:rPr>
          <w:rFonts w:ascii="Times New Roman" w:cs="Times New Roman" w:eastAsia="Times New Roman" w:hAnsi="Times New Roman"/>
          <w:sz w:val="18"/>
          <w:szCs w:val="18"/>
          <w:color w:val="auto"/>
        </w:rPr>
      </w:pPr>
    </w:p>
    <w:p>
      <w:pPr>
        <w:ind w:left="16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Class A and Class B Shares rank pari passu, each conferring an equal share in the distribution of any surplus assets of the Company upon liquidation.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sz w:val="20"/>
          <w:szCs w:val="20"/>
          <w:color w:val="auto"/>
        </w:rPr>
      </w:pPr>
    </w:p>
    <w:p>
      <w:pPr>
        <w:ind w:left="1620" w:hanging="316"/>
        <w:spacing w:after="0" w:line="282" w:lineRule="auto"/>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6.4 of the MAA, each Class B Share may be voluntarily converted into a Class A Share at the option of the holder, subject to the terms set out in the MAA.</w:t>
      </w:r>
    </w:p>
    <w:p>
      <w:pPr>
        <w:spacing w:after="0" w:line="158"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CL TECHNOLOGIES (INTERNATIONAL) SDN. BHD.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 2024, the Company completed the acquisition of CL Technologies (International) Sdn. Bhd. (CL Tech), a company located in Malaysia that provides food and beverage software and server hosting services. The acquisition was made pursuant to a share purchase agreement dated January 1, 2024, between the Company, and Kevin Ng Chen Lok and other individual non-controlling shareholders, collectively the 94.95% shareholders of CL Tech. The acquisition purchase price totaled RM 457 (USD113) in initial cash consideration.</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of the Company, the acquisition of entities, business or assets under common control are accounted for in accordance with merger accounting. The difference between the consideration paid and the share capital of the acquired entity is reflected within equity as a merger reserve. The Company accounted the transaction as followings: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Convenience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Book value of 94.95% of Share Capital of CL Technologies (International) Sdn. Bhd.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(2,263,600)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(557,743)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Bargain purchase accounted as merger reserve in equity</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2,263,143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557,630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F-19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OF SAGTEC GROUP SDN. BHD.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 2024, the Company completed the acquisition of Sagtec Group Sdn. Bhd. (Sagtec Group), a company located in Malaysia that provides Food and beverage SAAS services. The acquisition was made pursuant to a share purchase agreement dated January 1, 2024, between the Company, and Kevin Ng Chen Lok and other individual non-controlling shareholders, collectively the 98.04% shareholders of Sagtec Group. The acquisition purchase price totaled RM 457 (USD113) in initial cash consideration.</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restructuring of the Company, the acquisition of entities, business or assets under common control are accounted for in accordance with merger accounting. The difference between the consideration paid and the share capital of the acquired entity is reflected within equity as a merger reserve. The Company accounted the transaction as followings: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Convenience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Book value of 98.04% of Share Capital of Sagtec Group Sdn. Bhd.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(1,017,702)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(250,759)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Bargain purchase accounted as merger reserve in equity</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1,017,245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250,646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771" w:gutter="0" w:footer="0" w:header="0"/>
        </w:sectPr>
      </w:pPr>
    </w:p>
    <w:p>
      <w:pPr>
        <w:ind w:left="660" w:hanging="652"/>
        <w:spacing w:after="0"/>
        <w:tabs>
          <w:tab w:leader="none" w:pos="66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Plant and equipment, at cost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&amp; Machine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&amp; Handphone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Renovation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Disposal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0" w:type="dxa"/>
            <w:vAlign w:val="bottom"/>
          </w:tcPr>
          <w:p>
            <w:pPr>
              <w:spacing w:after="0"/>
              <w:rPr>
                <w:sz w:val="1"/>
                <w:szCs w:val="1"/>
                <w:color w:val="auto"/>
              </w:rPr>
            </w:pPr>
          </w:p>
        </w:tc>
      </w:tr>
      <w:tr>
        <w:trPr>
          <w:trHeight w:val="24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12,468,561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4,894,732</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17,363,293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22,096,293</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(1,558,323)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37,901,263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9,338,737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114,419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775,901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775,901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7,031,639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7,807,540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43,892</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43,892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113,387</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13,402,773</w:t>
            </w:r>
          </w:p>
        </w:tc>
        <w:tc>
          <w:tcPr>
            <w:tcW w:w="2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4,894,732</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18,297,505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29,241,319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(1,558,323</w:t>
            </w:r>
          </w:p>
        </w:tc>
        <w:tc>
          <w:tcPr>
            <w:tcW w:w="220" w:type="dxa"/>
            <w:vAlign w:val="bottom"/>
            <w:vMerge w:val="continue"/>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45,980,501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11,329,433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-770890</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-496570</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-205105</wp:posOffset>
            </wp:positionV>
            <wp:extent cx="713232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860" w:space="240"/>
            <w:col w:w="8140"/>
          </w:cols>
          <w:pgMar w:left="320" w:top="873" w:right="339" w:bottom="771"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Disposal</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Depreciation</w:t>
            </w:r>
          </w:p>
        </w:tc>
        <w:tc>
          <w:tcPr>
            <w:tcW w:w="16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year</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w:t>
            </w:r>
          </w:p>
        </w:tc>
        <w:tc>
          <w:tcPr>
            <w:tcW w:w="160" w:type="dxa"/>
            <w:vAlign w:val="bottom"/>
          </w:tcPr>
          <w:p>
            <w:pPr>
              <w:spacing w:after="0"/>
              <w:rPr>
                <w:sz w:val="21"/>
                <w:szCs w:val="21"/>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60" w:type="dxa"/>
            <w:vAlign w:val="bottom"/>
          </w:tcPr>
          <w:p>
            <w:pPr>
              <w:spacing w:after="0"/>
              <w:rPr>
                <w:sz w:val="21"/>
                <w:szCs w:val="21"/>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76"/>
        </w:trPr>
        <w:tc>
          <w:tcPr>
            <w:tcW w:w="2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&amp; Machine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2,230,743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1,576,753</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3,807,496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2,869,717</w:t>
            </w:r>
          </w:p>
        </w:tc>
        <w:tc>
          <w:tcPr>
            <w:tcW w:w="12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(725,611)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5,951,602</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1,466,454</w:t>
            </w:r>
          </w:p>
        </w:tc>
        <w:tc>
          <w:tcPr>
            <w:tcW w:w="0" w:type="dxa"/>
            <w:vAlign w:val="bottom"/>
          </w:tcPr>
          <w:p>
            <w:pPr>
              <w:spacing w:after="0"/>
              <w:rPr>
                <w:sz w:val="1"/>
                <w:szCs w:val="1"/>
                <w:color w:val="auto"/>
              </w:rPr>
            </w:pP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&amp; Handphone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22,676</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78,999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98,496</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24,269</w:t>
            </w:r>
          </w:p>
        </w:tc>
        <w:tc>
          <w:tcPr>
            <w:tcW w:w="0" w:type="dxa"/>
            <w:vAlign w:val="bottom"/>
          </w:tcPr>
          <w:p>
            <w:pPr>
              <w:spacing w:after="0"/>
              <w:rPr>
                <w:sz w:val="1"/>
                <w:szCs w:val="1"/>
                <w:color w:val="auto"/>
              </w:rPr>
            </w:pPr>
          </w:p>
        </w:tc>
      </w:tr>
      <w:tr>
        <w:trPr>
          <w:trHeight w:val="216"/>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64,836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77,590</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142,426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663,560</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805,986</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198,592</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Renovation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10,973</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37,841</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7"/>
        </w:trPr>
        <w:tc>
          <w:tcPr>
            <w:tcW w:w="29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gridSpan w:val="3"/>
            <w:vMerge w:val="continue"/>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2,355,695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1,687,992</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4,043,687</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3,575,849</w:t>
            </w:r>
          </w:p>
        </w:tc>
        <w:tc>
          <w:tcPr>
            <w:tcW w:w="160" w:type="dxa"/>
            <w:vAlign w:val="bottom"/>
            <w:vMerge w:val="continue"/>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(725,611</w:t>
            </w:r>
          </w:p>
        </w:tc>
        <w:tc>
          <w:tcPr>
            <w:tcW w:w="22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6,893,925</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1,698,639</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2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Carrying Amount</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&amp; Machine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13,555,797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31,949,661</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7,872,283</w:t>
            </w:r>
          </w:p>
        </w:tc>
        <w:tc>
          <w:tcPr>
            <w:tcW w:w="0" w:type="dxa"/>
            <w:vAlign w:val="bottom"/>
          </w:tcPr>
          <w:p>
            <w:pPr>
              <w:spacing w:after="0"/>
              <w:rPr>
                <w:sz w:val="1"/>
                <w:szCs w:val="1"/>
                <w:color w:val="auto"/>
              </w:rPr>
            </w:pP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&amp; Handphone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35,420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15,923</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16"/>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633,475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7,001,554</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1,725,158</w:t>
            </w:r>
          </w:p>
        </w:tc>
        <w:tc>
          <w:tcPr>
            <w:tcW w:w="0" w:type="dxa"/>
            <w:vAlign w:val="bottom"/>
          </w:tcPr>
          <w:p>
            <w:pPr>
              <w:spacing w:after="0"/>
              <w:rPr>
                <w:sz w:val="1"/>
                <w:szCs w:val="1"/>
                <w:color w:val="auto"/>
              </w:rPr>
            </w:pPr>
          </w:p>
        </w:tc>
      </w:tr>
      <w:tr>
        <w:trPr>
          <w:trHeight w:val="229"/>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Renovation</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29,126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119,438</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29,429</w:t>
            </w:r>
          </w:p>
        </w:tc>
        <w:tc>
          <w:tcPr>
            <w:tcW w:w="0" w:type="dxa"/>
            <w:vAlign w:val="bottom"/>
          </w:tcPr>
          <w:p>
            <w:pPr>
              <w:spacing w:after="0"/>
              <w:rPr>
                <w:sz w:val="1"/>
                <w:szCs w:val="1"/>
                <w:color w:val="auto"/>
              </w:rPr>
            </w:pPr>
          </w:p>
        </w:tc>
      </w:tr>
      <w:tr>
        <w:trPr>
          <w:trHeight w:val="27"/>
        </w:trPr>
        <w:tc>
          <w:tcPr>
            <w:tcW w:w="29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gridSpan w:val="3"/>
            <w:vMerge w:val="continue"/>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14,253,818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39,086,576</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9,630,794</w:t>
            </w:r>
          </w:p>
        </w:tc>
        <w:tc>
          <w:tcPr>
            <w:tcW w:w="0" w:type="dxa"/>
            <w:vAlign w:val="bottom"/>
          </w:tcPr>
          <w:p>
            <w:pPr>
              <w:spacing w:after="0"/>
              <w:rPr>
                <w:sz w:val="1"/>
                <w:szCs w:val="1"/>
                <w:color w:val="auto"/>
              </w:rPr>
            </w:pPr>
          </w:p>
        </w:tc>
      </w:tr>
      <w:tr>
        <w:trPr>
          <w:trHeight w:val="21"/>
        </w:trPr>
        <w:tc>
          <w:tcPr>
            <w:tcW w:w="1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F-20</w:t>
            </w: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771"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1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RIGHT OF USE ASSETS</w:t>
            </w:r>
          </w:p>
        </w:tc>
        <w:tc>
          <w:tcPr>
            <w:tcW w:w="2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900" w:type="dxa"/>
            <w:vAlign w:val="bottom"/>
            <w:gridSpan w:val="2"/>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76"/>
        </w:trPr>
        <w:tc>
          <w:tcPr>
            <w:tcW w:w="45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Right-Of-Use Assets, cost</w:t>
            </w:r>
          </w:p>
        </w:tc>
        <w:tc>
          <w:tcPr>
            <w:tcW w:w="27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307,323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307,323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75,723</w:t>
            </w:r>
          </w:p>
        </w:tc>
        <w:tc>
          <w:tcPr>
            <w:tcW w:w="0" w:type="dxa"/>
            <w:vAlign w:val="bottom"/>
          </w:tcPr>
          <w:p>
            <w:pPr>
              <w:spacing w:after="0"/>
              <w:rPr>
                <w:sz w:val="1"/>
                <w:szCs w:val="1"/>
                <w:color w:val="auto"/>
              </w:rPr>
            </w:pPr>
          </w:p>
        </w:tc>
      </w:tr>
      <w:tr>
        <w:trPr>
          <w:trHeight w:val="216"/>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 New right-of-use asset recognized</w:t>
            </w:r>
          </w:p>
        </w:tc>
        <w:tc>
          <w:tcPr>
            <w:tcW w:w="4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1,487,466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366,506</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Termination</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(105,860)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(26,084)</w:t>
            </w:r>
          </w:p>
        </w:tc>
        <w:tc>
          <w:tcPr>
            <w:tcW w:w="0" w:type="dxa"/>
            <w:vAlign w:val="bottom"/>
          </w:tcPr>
          <w:p>
            <w:pPr>
              <w:spacing w:after="0"/>
              <w:rPr>
                <w:sz w:val="1"/>
                <w:szCs w:val="1"/>
                <w:color w:val="auto"/>
              </w:rPr>
            </w:pPr>
          </w:p>
        </w:tc>
      </w:tr>
      <w:tr>
        <w:trPr>
          <w:trHeight w:val="230"/>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Less: Modification</w:t>
            </w:r>
          </w:p>
        </w:tc>
        <w:tc>
          <w:tcPr>
            <w:tcW w:w="2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56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27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7"/>
            <w:vMerge w:val="continue"/>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1,688,860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416,128</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Right-Of-Use Assets, accumulated amortization</w:t>
            </w:r>
          </w:p>
        </w:tc>
        <w:tc>
          <w:tcPr>
            <w:tcW w:w="27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90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82,041</w:t>
            </w:r>
          </w:p>
        </w:tc>
        <w:tc>
          <w:tcPr>
            <w:tcW w:w="13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137,297</w:t>
            </w:r>
          </w:p>
        </w:tc>
        <w:tc>
          <w:tcPr>
            <w:tcW w:w="12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33,829</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the year</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214,646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52,888</w:t>
            </w:r>
          </w:p>
        </w:tc>
        <w:tc>
          <w:tcPr>
            <w:tcW w:w="0" w:type="dxa"/>
            <w:vAlign w:val="bottom"/>
          </w:tcPr>
          <w:p>
            <w:pPr>
              <w:spacing w:after="0"/>
              <w:rPr>
                <w:sz w:val="1"/>
                <w:szCs w:val="1"/>
                <w:color w:val="auto"/>
              </w:rPr>
            </w:pPr>
          </w:p>
        </w:tc>
      </w:tr>
      <w:tr>
        <w:trPr>
          <w:trHeight w:val="230"/>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Less: Termination</w:t>
            </w:r>
          </w:p>
        </w:tc>
        <w:tc>
          <w:tcPr>
            <w:tcW w:w="2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(73,311)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7"/>
        </w:trPr>
        <w:tc>
          <w:tcPr>
            <w:tcW w:w="456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27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7"/>
            <w:vMerge w:val="continue"/>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278,632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68,653</w:t>
            </w: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Right-Of-Use Assets, carrying amount</w:t>
            </w:r>
          </w:p>
        </w:tc>
        <w:tc>
          <w:tcPr>
            <w:tcW w:w="27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1620" w:type="dxa"/>
            <w:vAlign w:val="bottom"/>
            <w:tcBorders>
              <w:top w:val="single" w:sz="8" w:color="CCEEFF"/>
            </w:tcBorders>
            <w:gridSpan w:val="2"/>
          </w:tcPr>
          <w:p>
            <w:pPr>
              <w:spacing w:after="0"/>
              <w:rPr>
                <w:sz w:val="18"/>
                <w:szCs w:val="18"/>
                <w:color w:val="auto"/>
              </w:rPr>
            </w:pPr>
          </w:p>
        </w:tc>
        <w:tc>
          <w:tcPr>
            <w:tcW w:w="4140" w:type="dxa"/>
            <w:vAlign w:val="bottom"/>
            <w:tcBorders>
              <w:top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225,282</w:t>
            </w:r>
          </w:p>
        </w:tc>
        <w:tc>
          <w:tcPr>
            <w:tcW w:w="13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170,026</w:t>
            </w:r>
          </w:p>
        </w:tc>
        <w:tc>
          <w:tcPr>
            <w:tcW w:w="12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41,894</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1,410,228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347,475</w:t>
            </w:r>
          </w:p>
        </w:tc>
        <w:tc>
          <w:tcPr>
            <w:tcW w:w="0" w:type="dxa"/>
            <w:vAlign w:val="bottom"/>
          </w:tcPr>
          <w:p>
            <w:pPr>
              <w:spacing w:after="0"/>
              <w:rPr>
                <w:sz w:val="1"/>
                <w:szCs w:val="1"/>
                <w:color w:val="auto"/>
              </w:rPr>
            </w:pPr>
          </w:p>
        </w:tc>
      </w:tr>
      <w:tr>
        <w:trPr>
          <w:trHeight w:val="452"/>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900" w:type="dxa"/>
            <w:vAlign w:val="bottom"/>
            <w:gridSpan w:val="2"/>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75"/>
        </w:trPr>
        <w:tc>
          <w:tcPr>
            <w:tcW w:w="45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Lease Liability</w:t>
            </w:r>
          </w:p>
        </w:tc>
        <w:tc>
          <w:tcPr>
            <w:tcW w:w="27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209,571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40,058</w:t>
            </w:r>
          </w:p>
        </w:tc>
        <w:tc>
          <w:tcPr>
            <w:tcW w:w="0" w:type="dxa"/>
            <w:vAlign w:val="bottom"/>
          </w:tcPr>
          <w:p>
            <w:pPr>
              <w:spacing w:after="0"/>
              <w:rPr>
                <w:sz w:val="1"/>
                <w:szCs w:val="1"/>
                <w:color w:val="auto"/>
              </w:rPr>
            </w:pPr>
          </w:p>
        </w:tc>
      </w:tr>
      <w:tr>
        <w:trPr>
          <w:trHeight w:val="216"/>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 New lease recognized</w:t>
            </w:r>
          </w:p>
        </w:tc>
        <w:tc>
          <w:tcPr>
            <w:tcW w:w="4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1,355,647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334,026</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Imputed interest</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16"/>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Less: Modification</w:t>
            </w:r>
          </w:p>
        </w:tc>
        <w:tc>
          <w:tcPr>
            <w:tcW w:w="4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Principal repayment</w:t>
            </w:r>
          </w:p>
        </w:tc>
        <w:tc>
          <w:tcPr>
            <w:tcW w:w="4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(161,328)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(39,751)</w:t>
            </w:r>
          </w:p>
        </w:tc>
        <w:tc>
          <w:tcPr>
            <w:tcW w:w="0" w:type="dxa"/>
            <w:vAlign w:val="bottom"/>
          </w:tcPr>
          <w:p>
            <w:pPr>
              <w:spacing w:after="0"/>
              <w:rPr>
                <w:sz w:val="1"/>
                <w:szCs w:val="1"/>
                <w:color w:val="auto"/>
              </w:rPr>
            </w:pPr>
          </w:p>
        </w:tc>
      </w:tr>
      <w:tr>
        <w:trPr>
          <w:trHeight w:val="230"/>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Termination</w:t>
            </w:r>
          </w:p>
        </w:tc>
        <w:tc>
          <w:tcPr>
            <w:tcW w:w="2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(37,339)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7"/>
        </w:trPr>
        <w:tc>
          <w:tcPr>
            <w:tcW w:w="456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end of the year/period</w:t>
            </w:r>
          </w:p>
        </w:tc>
        <w:tc>
          <w:tcPr>
            <w:tcW w:w="27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7"/>
            <w:vMerge w:val="continue"/>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1,360,238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335,158</w:t>
            </w: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79,709</w:t>
            </w:r>
          </w:p>
        </w:tc>
        <w:tc>
          <w:tcPr>
            <w:tcW w:w="0" w:type="dxa"/>
            <w:vAlign w:val="bottom"/>
          </w:tcPr>
          <w:p>
            <w:pPr>
              <w:spacing w:after="0"/>
              <w:rPr>
                <w:sz w:val="1"/>
                <w:szCs w:val="1"/>
                <w:color w:val="auto"/>
              </w:rPr>
            </w:pPr>
          </w:p>
        </w:tc>
      </w:tr>
      <w:tr>
        <w:trPr>
          <w:trHeight w:val="230"/>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Lease liability non-current portion</w:t>
            </w:r>
          </w:p>
        </w:tc>
        <w:tc>
          <w:tcPr>
            <w:tcW w:w="2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109,809</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1,036,738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255,449</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1,360,238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335,158</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Maturities of Lease</w:t>
            </w:r>
          </w:p>
        </w:tc>
        <w:tc>
          <w:tcPr>
            <w:tcW w:w="27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4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52,768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79,709</w:t>
            </w:r>
          </w:p>
        </w:tc>
        <w:tc>
          <w:tcPr>
            <w:tcW w:w="0" w:type="dxa"/>
            <w:vAlign w:val="bottom"/>
          </w:tcPr>
          <w:p>
            <w:pPr>
              <w:spacing w:after="0"/>
              <w:rPr>
                <w:sz w:val="1"/>
                <w:szCs w:val="1"/>
                <w:color w:val="auto"/>
              </w:rPr>
            </w:pPr>
          </w:p>
        </w:tc>
      </w:tr>
      <w:tr>
        <w:trPr>
          <w:trHeight w:val="216"/>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4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25,598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321,983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79,336</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336,260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82,853</w:t>
            </w:r>
          </w:p>
        </w:tc>
        <w:tc>
          <w:tcPr>
            <w:tcW w:w="0" w:type="dxa"/>
            <w:vAlign w:val="bottom"/>
          </w:tcPr>
          <w:p>
            <w:pPr>
              <w:spacing w:after="0"/>
              <w:rPr>
                <w:sz w:val="1"/>
                <w:szCs w:val="1"/>
                <w:color w:val="auto"/>
              </w:rPr>
            </w:pPr>
          </w:p>
        </w:tc>
      </w:tr>
      <w:tr>
        <w:trPr>
          <w:trHeight w:val="216"/>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4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236,467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58,265</w:t>
            </w:r>
          </w:p>
        </w:tc>
        <w:tc>
          <w:tcPr>
            <w:tcW w:w="0" w:type="dxa"/>
            <w:vAlign w:val="bottom"/>
          </w:tcPr>
          <w:p>
            <w:pPr>
              <w:spacing w:after="0"/>
              <w:rPr>
                <w:sz w:val="1"/>
                <w:szCs w:val="1"/>
                <w:color w:val="auto"/>
              </w:rPr>
            </w:pPr>
          </w:p>
        </w:tc>
      </w:tr>
      <w:tr>
        <w:trPr>
          <w:trHeight w:val="216"/>
        </w:trPr>
        <w:tc>
          <w:tcPr>
            <w:tcW w:w="4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4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13,751</w:t>
            </w:r>
          </w:p>
        </w:tc>
        <w:tc>
          <w:tcPr>
            <w:tcW w:w="0" w:type="dxa"/>
            <w:vAlign w:val="bottom"/>
          </w:tcPr>
          <w:p>
            <w:pPr>
              <w:spacing w:after="0"/>
              <w:rPr>
                <w:sz w:val="1"/>
                <w:szCs w:val="1"/>
                <w:color w:val="auto"/>
              </w:rPr>
            </w:pPr>
          </w:p>
        </w:tc>
      </w:tr>
      <w:tr>
        <w:trPr>
          <w:trHeight w:val="304"/>
        </w:trPr>
        <w:tc>
          <w:tcPr>
            <w:tcW w:w="4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After December 31, 2030</w:t>
            </w:r>
          </w:p>
        </w:tc>
        <w:tc>
          <w:tcPr>
            <w:tcW w:w="27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21,244</w:t>
            </w:r>
          </w:p>
        </w:tc>
        <w:tc>
          <w:tcPr>
            <w:tcW w:w="0" w:type="dxa"/>
            <w:vAlign w:val="bottom"/>
          </w:tcPr>
          <w:p>
            <w:pPr>
              <w:spacing w:after="0"/>
              <w:rPr>
                <w:sz w:val="1"/>
                <w:szCs w:val="1"/>
                <w:color w:val="auto"/>
              </w:rPr>
            </w:pPr>
          </w:p>
        </w:tc>
      </w:tr>
      <w:tr>
        <w:trPr>
          <w:trHeight w:val="223"/>
        </w:trPr>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F-21</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 AND TRADE PAYABLES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40" w:type="dxa"/>
            <w:vAlign w:val="bottom"/>
            <w:gridSpan w:val="4"/>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gross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Third parties</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8,409,351</w:t>
            </w: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11,204,601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2,760,774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Provision for expected credit losses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(1,229,403)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(302,921)</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8,409,351</w:t>
            </w:r>
          </w:p>
        </w:tc>
        <w:tc>
          <w:tcPr>
            <w:tcW w:w="1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9,975,198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2,457,853</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Provision for expected credit losses movement schedule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7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24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6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Charge for the year</w:t>
            </w: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Written off during the year</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Trade receivables are non-interest bearing and generally on 30 to 90 days credit terms. The Group applies the simplified approach under IFRS 9 to measure expected credit losses, using a lifetime expected loss allowance for all trade receivables.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6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40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gross</w:t>
            </w:r>
          </w:p>
        </w:tc>
        <w:tc>
          <w:tcPr>
            <w:tcW w:w="3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Third parties</w:t>
            </w:r>
          </w:p>
        </w:tc>
        <w:tc>
          <w:tcPr>
            <w:tcW w:w="30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335,070</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Trade payables, net</w:t>
            </w:r>
          </w:p>
        </w:tc>
        <w:tc>
          <w:tcPr>
            <w:tcW w:w="3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30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335,070</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82,559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Trade payables are non-interest bearing, generally on 30 to 90 days credit term. They are recognized at their original invoice amounts which represent their fair values on initial recognition.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OTHER RECEIVABLES AND OTHER PAYABLES</w:t>
            </w: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2"/>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6"/>
                <w:szCs w:val="16"/>
                <w:color w:val="auto"/>
              </w:rPr>
            </w:pPr>
          </w:p>
        </w:tc>
      </w:tr>
      <w:tr>
        <w:trPr>
          <w:trHeight w:val="245"/>
        </w:trPr>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8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r>
      <w:tr>
        <w:trPr>
          <w:trHeight w:val="194"/>
        </w:trPr>
        <w:tc>
          <w:tcPr>
            <w:tcW w:w="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8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76"/>
        </w:trPr>
        <w:tc>
          <w:tcPr>
            <w:tcW w:w="6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Deposits &amp; other receivables</w:t>
            </w:r>
          </w:p>
        </w:tc>
        <w:tc>
          <w:tcPr>
            <w:tcW w:w="14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42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p>
        </w:tc>
        <w:tc>
          <w:tcPr>
            <w:tcW w:w="2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101,680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25,054</w:t>
            </w:r>
          </w:p>
        </w:tc>
      </w:tr>
      <w:tr>
        <w:trPr>
          <w:trHeight w:val="216"/>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Utility deposit</w:t>
            </w:r>
          </w:p>
        </w:tc>
        <w:tc>
          <w:tcPr>
            <w:tcW w:w="2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3,711</w:t>
            </w:r>
          </w:p>
        </w:tc>
      </w:tr>
      <w:tr>
        <w:trPr>
          <w:trHeight w:val="216"/>
        </w:trPr>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w:t>
            </w:r>
          </w:p>
        </w:tc>
        <w:tc>
          <w:tcPr>
            <w:tcW w:w="2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25,990</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80" w:type="dxa"/>
            <w:vAlign w:val="bottom"/>
            <w:shd w:val="clear" w:color="auto" w:fill="CCEEFF"/>
          </w:tcPr>
          <w:p>
            <w:pPr>
              <w:spacing w:after="0"/>
              <w:rPr>
                <w:sz w:val="18"/>
                <w:szCs w:val="18"/>
                <w:color w:val="auto"/>
              </w:rPr>
            </w:pPr>
          </w:p>
        </w:tc>
      </w:tr>
      <w:tr>
        <w:trPr>
          <w:trHeight w:val="216"/>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2,089,986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763,342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366,228</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90,237</w:t>
            </w:r>
          </w:p>
        </w:tc>
      </w:tr>
      <w:tr>
        <w:trPr>
          <w:trHeight w:val="27"/>
        </w:trPr>
        <w:tc>
          <w:tcPr>
            <w:tcW w:w="4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2,867,160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508,958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125,406</w:t>
            </w:r>
          </w:p>
        </w:tc>
        <w:tc>
          <w:tcPr>
            <w:tcW w:w="80" w:type="dxa"/>
            <w:vAlign w:val="bottom"/>
          </w:tcPr>
          <w:p>
            <w:pPr>
              <w:spacing w:after="0"/>
              <w:rPr>
                <w:sz w:val="21"/>
                <w:szCs w:val="21"/>
                <w:color w:val="auto"/>
              </w:rPr>
            </w:pPr>
          </w:p>
        </w:tc>
      </w:tr>
      <w:tr>
        <w:trPr>
          <w:trHeight w:val="21"/>
        </w:trPr>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other receivables comprise of advance payments made to the supplier for software development services and source code as well as IPO consultation services. Both services were fully rendered and recognized in the profit or loss by 31 March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2760" w:type="dxa"/>
            <w:vAlign w:val="bottom"/>
          </w:tcPr>
          <w:p>
            <w:pPr>
              <w:spacing w:after="0"/>
              <w:rPr>
                <w:sz w:val="21"/>
                <w:szCs w:val="21"/>
                <w:color w:val="auto"/>
              </w:rPr>
            </w:pPr>
          </w:p>
        </w:tc>
        <w:tc>
          <w:tcPr>
            <w:tcW w:w="5860" w:type="dxa"/>
            <w:vAlign w:val="bottom"/>
            <w:gridSpan w:val="2"/>
          </w:tcPr>
          <w:p>
            <w:pPr>
              <w:jc w:val="center"/>
              <w:ind w:left="4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2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27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75"/>
        </w:trPr>
        <w:tc>
          <w:tcPr>
            <w:tcW w:w="27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Accrued liabilities &amp; other payables</w:t>
            </w:r>
          </w:p>
        </w:tc>
        <w:tc>
          <w:tcPr>
            <w:tcW w:w="48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 payable</w:t>
            </w:r>
          </w:p>
        </w:tc>
        <w:tc>
          <w:tcPr>
            <w:tcW w:w="6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405,792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592,860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146,079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Lease payable</w:t>
            </w:r>
          </w:p>
        </w:tc>
        <w:tc>
          <w:tcPr>
            <w:tcW w:w="6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8,757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6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749,764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1,038,668</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255,924</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Utilities payable</w:t>
            </w:r>
          </w:p>
        </w:tc>
        <w:tc>
          <w:tcPr>
            <w:tcW w:w="48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116,311</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28,658</w:t>
            </w:r>
          </w:p>
        </w:tc>
      </w:tr>
      <w:tr>
        <w:trPr>
          <w:trHeight w:val="27"/>
        </w:trPr>
        <w:tc>
          <w:tcPr>
            <w:tcW w:w="276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276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1,172,737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1,749,353</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431,035</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27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3"/>
          </w:tcPr>
          <w:p>
            <w:pPr>
              <w:jc w:val="right"/>
              <w:ind w:right="3040"/>
              <w:spacing w:after="0"/>
              <w:rPr>
                <w:sz w:val="20"/>
                <w:szCs w:val="20"/>
                <w:color w:val="auto"/>
              </w:rPr>
            </w:pPr>
            <w:r>
              <w:rPr>
                <w:rFonts w:ascii="Times New Roman" w:cs="Times New Roman" w:eastAsia="Times New Roman" w:hAnsi="Times New Roman"/>
                <w:sz w:val="18"/>
                <w:szCs w:val="18"/>
                <w:color w:val="auto"/>
              </w:rPr>
              <w:t>F-23</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44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2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6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78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75"/>
        </w:trPr>
        <w:tc>
          <w:tcPr>
            <w:tcW w:w="4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Non-current prepayments</w:t>
            </w:r>
          </w:p>
        </w:tc>
        <w:tc>
          <w:tcPr>
            <w:tcW w:w="27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 services</w:t>
            </w:r>
          </w:p>
        </w:tc>
        <w:tc>
          <w:tcPr>
            <w:tcW w:w="4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9,459,196</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2,330,712</w:t>
            </w:r>
          </w:p>
        </w:tc>
      </w:tr>
      <w:tr>
        <w:trPr>
          <w:trHeight w:val="216"/>
        </w:trPr>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Licensing</w:t>
            </w:r>
          </w:p>
        </w:tc>
        <w:tc>
          <w:tcPr>
            <w:tcW w:w="4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8,262,047</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2,035,740</w:t>
            </w:r>
          </w:p>
        </w:tc>
      </w:tr>
      <w:tr>
        <w:trPr>
          <w:trHeight w:val="216"/>
        </w:trPr>
        <w:tc>
          <w:tcPr>
            <w:tcW w:w="4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 infrastructure</w:t>
            </w:r>
          </w:p>
        </w:tc>
        <w:tc>
          <w:tcPr>
            <w:tcW w:w="4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28,483,410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7,018,211</w:t>
            </w:r>
          </w:p>
        </w:tc>
      </w:tr>
      <w:tr>
        <w:trPr>
          <w:trHeight w:val="230"/>
        </w:trPr>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Project management services</w:t>
            </w:r>
          </w:p>
        </w:tc>
        <w:tc>
          <w:tcPr>
            <w:tcW w:w="27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4,853,954</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1,195,997</w:t>
            </w:r>
          </w:p>
        </w:tc>
      </w:tr>
      <w:tr>
        <w:trPr>
          <w:trHeight w:val="27"/>
        </w:trPr>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51,058,607</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12,580,660</w:t>
            </w:r>
          </w:p>
        </w:tc>
      </w:tr>
      <w:tr>
        <w:trPr>
          <w:trHeight w:val="21"/>
        </w:trPr>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6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1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78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76"/>
        </w:trPr>
        <w:tc>
          <w:tcPr>
            <w:tcW w:w="4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Current prepayments</w:t>
            </w:r>
          </w:p>
        </w:tc>
        <w:tc>
          <w:tcPr>
            <w:tcW w:w="27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 services</w:t>
            </w:r>
          </w:p>
        </w:tc>
        <w:tc>
          <w:tcPr>
            <w:tcW w:w="4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2,522,452</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621,523</w:t>
            </w:r>
          </w:p>
        </w:tc>
      </w:tr>
      <w:tr>
        <w:trPr>
          <w:trHeight w:val="230"/>
        </w:trPr>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Project management services</w:t>
            </w:r>
          </w:p>
        </w:tc>
        <w:tc>
          <w:tcPr>
            <w:tcW w:w="27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1,239,306</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305,361</w:t>
            </w:r>
          </w:p>
        </w:tc>
      </w:tr>
      <w:tr>
        <w:trPr>
          <w:trHeight w:val="27"/>
        </w:trPr>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3,761,758</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926,884</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above prepayments arise from equity-settled share-based payment arrangements, whereby the Company issued ordinary shares as consideration for future services and assets in accordance with IFRS 2 Share-based Payment. The prepayments are classified as current or non-current based on the expected timing of receipt of the underlying services and delivery of assets.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Of the total prepayments recognized, RM 11,981,648 relates to the issuance of 1,400,000 ordinary shares to Tan Yee How, while RM 42,838,718 relates to the issuance of 5,500,000 ordinary shares to Kinetic Seas Incorporated, as disclosed in Note 4 – Issuance of Shares.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current portion primarily relates to consultant services and project management services expected to be rendered within twelve months from the reporting date, amounting to RM 2,522,452 (Tan Yee How) and RM 1,239,306 (Kinetic Seas Incorporated).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non-current portion comprises (i) licensing rights and server infrastructure of RM 36,745,457, which have not yet been delivered as at the reporting date and will be reclassified to intangible assets and property, plant and equipment, respectively, upon delivery, and (ii) the remaining portion of consultant services and project management services to be rendered after twelve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AND SHORT-TERM DEPOSITS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474,716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9,161,045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Pledged Deposits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1,179,430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1,700,892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419,094</w:t>
            </w:r>
          </w:p>
        </w:tc>
        <w:tc>
          <w:tcPr>
            <w:tcW w:w="0" w:type="dxa"/>
            <w:vAlign w:val="bottom"/>
          </w:tcPr>
          <w:p>
            <w:pPr>
              <w:spacing w:after="0"/>
              <w:rPr>
                <w:sz w:val="1"/>
                <w:szCs w:val="1"/>
                <w:color w:val="auto"/>
              </w:rPr>
            </w:pPr>
          </w:p>
        </w:tc>
      </w:tr>
      <w:tr>
        <w:trPr>
          <w:trHeight w:val="27"/>
        </w:trPr>
        <w:tc>
          <w:tcPr>
            <w:tcW w:w="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vMerge w:val="continue"/>
            <w:shd w:val="clear" w:color="auto" w:fill="CCEEFF"/>
          </w:tcPr>
          <w:p>
            <w:pPr>
              <w:spacing w:after="0"/>
              <w:rPr>
                <w:sz w:val="21"/>
                <w:szCs w:val="21"/>
                <w:color w:val="auto"/>
              </w:rPr>
            </w:pPr>
          </w:p>
        </w:tc>
        <w:tc>
          <w:tcPr>
            <w:tcW w:w="68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1,654,146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10,861,937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2,676,344</w:t>
            </w: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Pledged deposits are fixed deposit pledged to banks with maturity less than one year to secure overdraft facilities.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purpose of presenting the consolidated statement of cash flows, cash and cash equivalents comprise the following at the end of the financial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deposits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1,654,146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10,861,937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Pledged Deposits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(1,179,430)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(1,700,892)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(419,094)</w:t>
            </w:r>
          </w:p>
        </w:tc>
        <w:tc>
          <w:tcPr>
            <w:tcW w:w="0" w:type="dxa"/>
            <w:vAlign w:val="bottom"/>
          </w:tcPr>
          <w:p>
            <w:pPr>
              <w:spacing w:after="0"/>
              <w:rPr>
                <w:sz w:val="1"/>
                <w:szCs w:val="1"/>
                <w:color w:val="auto"/>
              </w:rPr>
            </w:pPr>
          </w:p>
        </w:tc>
      </w:tr>
      <w:tr>
        <w:trPr>
          <w:trHeight w:val="230"/>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370,129</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9,161,045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2,257,250</w:t>
            </w:r>
          </w:p>
        </w:tc>
        <w:tc>
          <w:tcPr>
            <w:tcW w:w="0" w:type="dxa"/>
            <w:vAlign w:val="bottom"/>
          </w:tcPr>
          <w:p>
            <w:pPr>
              <w:spacing w:after="0"/>
              <w:rPr>
                <w:sz w:val="1"/>
                <w:szCs w:val="1"/>
                <w:color w:val="auto"/>
              </w:rPr>
            </w:pPr>
          </w:p>
        </w:tc>
      </w:tr>
      <w:tr>
        <w:trPr>
          <w:trHeight w:val="21"/>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6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RELATED PARTIES DISCLOSURES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20" w:type="dxa"/>
            <w:vAlign w:val="bottom"/>
            <w:vMerge w:val="continue"/>
          </w:tcPr>
          <w:p>
            <w:pPr>
              <w:spacing w:after="0"/>
              <w:rPr>
                <w:sz w:val="24"/>
                <w:szCs w:val="24"/>
                <w:color w:val="auto"/>
              </w:rPr>
            </w:pPr>
          </w:p>
        </w:tc>
        <w:tc>
          <w:tcPr>
            <w:tcW w:w="680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0" w:type="dxa"/>
            <w:vAlign w:val="bottom"/>
          </w:tcPr>
          <w:p>
            <w:pPr>
              <w:spacing w:after="0"/>
              <w:rPr>
                <w:sz w:val="24"/>
                <w:szCs w:val="24"/>
                <w:color w:val="auto"/>
              </w:rPr>
            </w:pPr>
          </w:p>
        </w:tc>
        <w:tc>
          <w:tcPr>
            <w:tcW w:w="6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  Related party transactions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9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on behalf by director</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Employee benefit expenses charged from related parties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 charged from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Related parties comprise mainly shareholders or companies controlled by director or shareholders.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both"/>
        <w:ind w:left="660" w:right="7040" w:hanging="652"/>
        <w:spacing w:after="0" w:line="508" w:lineRule="auto"/>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PARTIES DISCLOSURES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Remuneration of key management personnel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39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28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94"/>
        </w:trPr>
        <w:tc>
          <w:tcPr>
            <w:tcW w:w="28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28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 Chen Lok, Chairman, CEO &amp; Director</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Director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678,306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820,684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202,215</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Michael Harrison Jr, Independent Director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Director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Lai Fuu Sing, Independent Director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Director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 Seng Wee, Independent Director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Director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 Xiang Foong, Independent Director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Director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Elain Binti Lockman, Independent Director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Director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Zuria Hajar Bt Mohd Adnan, CFO &amp; Director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Salary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92,043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27,843</w:t>
            </w:r>
          </w:p>
        </w:tc>
      </w:tr>
      <w:tr>
        <w:trPr>
          <w:trHeight w:val="216"/>
        </w:trPr>
        <w:tc>
          <w:tcPr>
            <w:tcW w:w="280" w:type="dxa"/>
            <w:vAlign w:val="bottom"/>
          </w:tcPr>
          <w:p>
            <w:pPr>
              <w:spacing w:after="0"/>
              <w:rPr>
                <w:sz w:val="18"/>
                <w:szCs w:val="18"/>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Employer Contribution to Defined Contribution Plan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4,101</w:t>
            </w: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Employer Contribution to Insurance Scheme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Loong Xin Yee, COO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 Kim Chuan, CTO</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Salary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144,330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48,023</w:t>
            </w:r>
          </w:p>
        </w:tc>
      </w:tr>
      <w:tr>
        <w:trPr>
          <w:trHeight w:val="216"/>
        </w:trPr>
        <w:tc>
          <w:tcPr>
            <w:tcW w:w="28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Employer Contribution to Defined Contribution Plan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2,153</w:t>
            </w:r>
          </w:p>
        </w:tc>
      </w:tr>
      <w:tr>
        <w:trPr>
          <w:trHeight w:val="234"/>
        </w:trPr>
        <w:tc>
          <w:tcPr>
            <w:tcW w:w="280" w:type="dxa"/>
            <w:vAlign w:val="bottom"/>
          </w:tcPr>
          <w:p>
            <w:pPr>
              <w:spacing w:after="0"/>
              <w:rPr>
                <w:sz w:val="20"/>
                <w:szCs w:val="20"/>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Employer Contribution to Insurance Scheme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41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Provision for warranty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Provision for reinstatement cost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Unclaimed warranty during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end of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380" w:type="dxa"/>
            <w:vAlign w:val="bottom"/>
            <w:tcBorders>
              <w:top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top w:val="single" w:sz="8" w:color="auto"/>
            </w:tcBorders>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gridSpan w:val="2"/>
          </w:tcPr>
          <w:p>
            <w:pPr>
              <w:spacing w:after="0"/>
              <w:rPr>
                <w:sz w:val="17"/>
                <w:szCs w:val="17"/>
                <w:color w:val="auto"/>
              </w:rPr>
            </w:pPr>
          </w:p>
        </w:tc>
      </w:tr>
      <w:tr>
        <w:trPr>
          <w:trHeight w:val="245"/>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4"/>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6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494,280</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441,353</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108,748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202,929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6,233</w:t>
            </w:r>
          </w:p>
        </w:tc>
        <w:tc>
          <w:tcPr>
            <w:tcW w:w="40" w:type="dxa"/>
            <w:vAlign w:val="bottom"/>
          </w:tcPr>
          <w:p>
            <w:pPr>
              <w:spacing w:after="0"/>
              <w:rPr>
                <w:sz w:val="18"/>
                <w:szCs w:val="18"/>
                <w:color w:val="auto"/>
              </w:rPr>
            </w:pPr>
          </w:p>
        </w:tc>
      </w:tr>
      <w:tr>
        <w:trPr>
          <w:trHeight w:val="248"/>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(255,856)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(441,353)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(108,748)</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441,353</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6,233</w:t>
            </w:r>
          </w:p>
        </w:tc>
        <w:tc>
          <w:tcPr>
            <w:tcW w:w="4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-779145</wp:posOffset>
            </wp:positionV>
            <wp:extent cx="71323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provides a one-year warranty on all food kiosk ordering machines and power bank charging stations sold, covering defects in materials and workmanship. The warranty provision is assessed at each reporting date based on historical claims experience, product defect trends, customer complaints and service reports, supplier warranty coverage arrangements, and post-year-end events up to the date of approval of the financial statements.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financial year ended 31 December 2025, no warranty provision has been recognized as management assessed that no present obligation exists and the expected warranty claims are not probable or can be recovered from suppliers. Accordingly, the estimated outflow of economic resources is not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financial year ended 31 December 2025, the Group entered into a new lease arrangement which includes reinstatement obligations.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a provision for reinstatement costs has been recognized, with a corresponding adjustment to the right-of-use asset.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BANK BORROWINGS AND BANK OVERDRAFT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6"/>
                <w:szCs w:val="16"/>
                <w:color w:val="auto"/>
              </w:rPr>
            </w:pPr>
          </w:p>
        </w:tc>
      </w:tr>
      <w:tr>
        <w:trPr>
          <w:trHeight w:val="245"/>
        </w:trPr>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r>
      <w:tr>
        <w:trPr>
          <w:trHeight w:val="194"/>
        </w:trPr>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8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89"/>
        </w:trPr>
        <w:tc>
          <w:tcPr>
            <w:tcW w:w="64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3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736,481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1,173,088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289,045</w:t>
            </w:r>
          </w:p>
        </w:tc>
        <w:tc>
          <w:tcPr>
            <w:tcW w:w="80" w:type="dxa"/>
            <w:vAlign w:val="bottom"/>
          </w:tcPr>
          <w:p>
            <w:pPr>
              <w:spacing w:after="0"/>
              <w:rPr>
                <w:sz w:val="20"/>
                <w:szCs w:val="20"/>
                <w:color w:val="auto"/>
              </w:rPr>
            </w:pPr>
          </w:p>
        </w:tc>
      </w:tr>
      <w:tr>
        <w:trPr>
          <w:trHeight w:val="216"/>
        </w:trPr>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841,068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1,173,088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289,045</w:t>
            </w:r>
          </w:p>
        </w:tc>
        <w:tc>
          <w:tcPr>
            <w:tcW w:w="80" w:type="dxa"/>
            <w:vAlign w:val="bottom"/>
            <w:tcBorders>
              <w:top w:val="single" w:sz="8" w:color="CCEEFF"/>
            </w:tcBorders>
            <w:shd w:val="clear" w:color="auto" w:fill="CCEEFF"/>
          </w:tcPr>
          <w:p>
            <w:pPr>
              <w:spacing w:after="0"/>
              <w:rPr>
                <w:sz w:val="18"/>
                <w:szCs w:val="18"/>
                <w:color w:val="auto"/>
              </w:rPr>
            </w:pPr>
          </w:p>
        </w:tc>
      </w:tr>
      <w:tr>
        <w:trPr>
          <w:trHeight w:val="176"/>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2,526,234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3,859,445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950,954</w:t>
            </w:r>
          </w:p>
        </w:tc>
        <w:tc>
          <w:tcPr>
            <w:tcW w:w="80" w:type="dxa"/>
            <w:vAlign w:val="bottom"/>
            <w:shd w:val="clear" w:color="auto" w:fill="CCEEFF"/>
          </w:tcPr>
          <w:p>
            <w:pPr>
              <w:spacing w:after="0"/>
              <w:rPr>
                <w:sz w:val="19"/>
                <w:szCs w:val="19"/>
                <w:color w:val="auto"/>
              </w:rPr>
            </w:pPr>
          </w:p>
        </w:tc>
      </w:tr>
      <w:tr>
        <w:trPr>
          <w:trHeight w:val="27"/>
        </w:trPr>
        <w:tc>
          <w:tcPr>
            <w:tcW w:w="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3,367,302</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5,032,533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1,239,999</w:t>
            </w:r>
          </w:p>
        </w:tc>
        <w:tc>
          <w:tcPr>
            <w:tcW w:w="80" w:type="dxa"/>
            <w:vAlign w:val="bottom"/>
          </w:tcPr>
          <w:p>
            <w:pPr>
              <w:spacing w:after="0"/>
              <w:rPr>
                <w:sz w:val="21"/>
                <w:szCs w:val="21"/>
                <w:color w:val="auto"/>
              </w:rPr>
            </w:pPr>
          </w:p>
        </w:tc>
      </w:tr>
      <w:tr>
        <w:trPr>
          <w:trHeight w:val="21"/>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Bank overdraft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bank overdraft is secured by the Group’s fixed deposits. The weightage average effective interest rate is NIL (2024: 8.83%) per annum.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Bank borrowing</w:t>
            </w:r>
          </w:p>
        </w:tc>
        <w:tc>
          <w:tcPr>
            <w:tcW w:w="54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9"/>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Maturities of Bank Borrowing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736,481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782,996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1,173,088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289,045</w:t>
            </w:r>
          </w:p>
        </w:tc>
        <w:tc>
          <w:tcPr>
            <w:tcW w:w="100" w:type="dxa"/>
            <w:vAlign w:val="bottom"/>
          </w:tcPr>
          <w:p>
            <w:pPr>
              <w:spacing w:after="0"/>
              <w:rPr>
                <w:sz w:val="18"/>
                <w:szCs w:val="18"/>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795,079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1,252,768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308,677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495,036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245,633</w:t>
            </w:r>
          </w:p>
        </w:tc>
        <w:tc>
          <w:tcPr>
            <w:tcW w:w="100" w:type="dxa"/>
            <w:vAlign w:val="bottom"/>
          </w:tcPr>
          <w:p>
            <w:pPr>
              <w:spacing w:after="0"/>
              <w:rPr>
                <w:sz w:val="18"/>
                <w:szCs w:val="18"/>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184,632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716,991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268,491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768,277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189,301</w:t>
            </w:r>
          </w:p>
        </w:tc>
        <w:tc>
          <w:tcPr>
            <w:tcW w:w="100" w:type="dxa"/>
            <w:vAlign w:val="bottom"/>
          </w:tcPr>
          <w:p>
            <w:pPr>
              <w:spacing w:after="0"/>
              <w:rPr>
                <w:sz w:val="18"/>
                <w:szCs w:val="18"/>
                <w:color w:val="auto"/>
              </w:rPr>
            </w:pPr>
          </w:p>
        </w:tc>
      </w:tr>
      <w:tr>
        <w:trPr>
          <w:trHeight w:val="230"/>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December 31, 2031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30,679</w:t>
            </w:r>
          </w:p>
        </w:tc>
      </w:tr>
      <w:tr>
        <w:trPr>
          <w:trHeight w:val="27"/>
        </w:trPr>
        <w:tc>
          <w:tcPr>
            <w:tcW w:w="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3,262,715</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5,032,533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1,239,999</w:t>
            </w:r>
          </w:p>
        </w:tc>
        <w:tc>
          <w:tcPr>
            <w:tcW w:w="1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4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6"/>
                <w:szCs w:val="16"/>
                <w:color w:val="auto"/>
              </w:rPr>
            </w:pPr>
          </w:p>
        </w:tc>
      </w:tr>
      <w:tr>
        <w:trPr>
          <w:trHeight w:val="245"/>
        </w:trPr>
        <w:tc>
          <w:tcPr>
            <w:tcW w:w="4040" w:type="dxa"/>
            <w:vAlign w:val="bottom"/>
          </w:tcPr>
          <w:p>
            <w:pPr>
              <w:spacing w:after="0"/>
              <w:rPr>
                <w:sz w:val="21"/>
                <w:szCs w:val="21"/>
                <w:color w:val="auto"/>
              </w:rPr>
            </w:pPr>
          </w:p>
        </w:tc>
        <w:tc>
          <w:tcPr>
            <w:tcW w:w="4280" w:type="dxa"/>
            <w:vAlign w:val="bottom"/>
            <w:gridSpan w:val="2"/>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1"/>
                <w:szCs w:val="21"/>
                <w:color w:val="auto"/>
              </w:rPr>
            </w:pPr>
          </w:p>
        </w:tc>
      </w:tr>
      <w:tr>
        <w:trPr>
          <w:trHeight w:val="194"/>
        </w:trPr>
        <w:tc>
          <w:tcPr>
            <w:tcW w:w="4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6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40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non-current borrowing</w:t>
            </w:r>
          </w:p>
        </w:tc>
        <w:tc>
          <w:tcPr>
            <w:tcW w:w="3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2,123,289</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3,323,249</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818,837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Undrawn borrowing facility</w:t>
            </w:r>
          </w:p>
        </w:tc>
        <w:tc>
          <w:tcPr>
            <w:tcW w:w="4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2,145,413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554,392</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4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655"/>
        </w:trPr>
        <w:tc>
          <w:tcPr>
            <w:tcW w:w="40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right"/>
              <w:ind w:right="2800"/>
              <w:spacing w:after="0"/>
              <w:rPr>
                <w:sz w:val="20"/>
                <w:szCs w:val="20"/>
                <w:color w:val="auto"/>
              </w:rPr>
            </w:pPr>
            <w:r>
              <w:rPr>
                <w:rFonts w:ascii="Times New Roman" w:cs="Times New Roman" w:eastAsia="Times New Roman" w:hAnsi="Times New Roman"/>
                <w:sz w:val="18"/>
                <w:szCs w:val="18"/>
                <w:color w:val="auto"/>
              </w:rPr>
              <w:t>F-27</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BANK BORROWINGS AND BANK OVERDRAFT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borrowings by the company are personally guaranteed by the director. In the event the company is unable to meet its loan obligations, the director will be held accountable and responsible for repaying the loans.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Reconciliation of liabilities arising from financing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640" w:type="dxa"/>
            <w:vAlign w:val="bottom"/>
            <w:gridSpan w:val="2"/>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38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Bank borrowing</w:t>
            </w:r>
          </w:p>
        </w:tc>
        <w:tc>
          <w:tcPr>
            <w:tcW w:w="35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4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2,909,469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3,262,715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803,922</w:t>
            </w:r>
          </w:p>
        </w:tc>
        <w:tc>
          <w:tcPr>
            <w:tcW w:w="0" w:type="dxa"/>
            <w:vAlign w:val="bottom"/>
          </w:tcPr>
          <w:p>
            <w:pPr>
              <w:spacing w:after="0"/>
              <w:rPr>
                <w:sz w:val="1"/>
                <w:szCs w:val="1"/>
                <w:color w:val="auto"/>
              </w:rPr>
            </w:pPr>
          </w:p>
        </w:tc>
      </w:tr>
      <w:tr>
        <w:trPr>
          <w:trHeight w:val="216"/>
        </w:trPr>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Proceeds from borrowing</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615,991</w:t>
            </w:r>
          </w:p>
        </w:tc>
        <w:tc>
          <w:tcPr>
            <w:tcW w:w="0" w:type="dxa"/>
            <w:vAlign w:val="bottom"/>
          </w:tcPr>
          <w:p>
            <w:pPr>
              <w:spacing w:after="0"/>
              <w:rPr>
                <w:sz w:val="1"/>
                <w:szCs w:val="1"/>
                <w:color w:val="auto"/>
              </w:rPr>
            </w:pPr>
          </w:p>
        </w:tc>
      </w:tr>
      <w:tr>
        <w:trPr>
          <w:trHeight w:val="216"/>
        </w:trPr>
        <w:tc>
          <w:tcPr>
            <w:tcW w:w="3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Scheduled repayment</w:t>
            </w:r>
          </w:p>
        </w:tc>
        <w:tc>
          <w:tcPr>
            <w:tcW w:w="4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(908,930)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(976,305)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(240,558)</w:t>
            </w:r>
          </w:p>
        </w:tc>
        <w:tc>
          <w:tcPr>
            <w:tcW w:w="0" w:type="dxa"/>
            <w:vAlign w:val="bottom"/>
          </w:tcPr>
          <w:p>
            <w:pPr>
              <w:spacing w:after="0"/>
              <w:rPr>
                <w:sz w:val="1"/>
                <w:szCs w:val="1"/>
                <w:color w:val="auto"/>
              </w:rPr>
            </w:pPr>
          </w:p>
        </w:tc>
      </w:tr>
      <w:tr>
        <w:trPr>
          <w:trHeight w:val="216"/>
        </w:trPr>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Non-cash changes</w:t>
            </w:r>
          </w:p>
        </w:tc>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cost</w:t>
            </w:r>
          </w:p>
        </w:tc>
        <w:tc>
          <w:tcPr>
            <w:tcW w:w="3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262,176</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60,644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20" w:type="dxa"/>
            <w:vAlign w:val="bottom"/>
            <w:gridSpan w:val="5"/>
            <w:vMerge w:val="continue"/>
          </w:tcPr>
          <w:p>
            <w:pPr>
              <w:spacing w:after="0"/>
              <w:rPr>
                <w:sz w:val="24"/>
                <w:szCs w:val="24"/>
                <w:color w:val="auto"/>
              </w:rPr>
            </w:pPr>
          </w:p>
        </w:tc>
        <w:tc>
          <w:tcPr>
            <w:tcW w:w="3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3,262,715</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5,032,533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1,239,999</w:t>
            </w:r>
          </w:p>
        </w:tc>
        <w:tc>
          <w:tcPr>
            <w:tcW w:w="0" w:type="dxa"/>
            <w:vAlign w:val="bottom"/>
          </w:tcPr>
          <w:p>
            <w:pPr>
              <w:spacing w:after="0"/>
              <w:rPr>
                <w:sz w:val="1"/>
                <w:szCs w:val="1"/>
                <w:color w:val="auto"/>
              </w:rPr>
            </w:pPr>
          </w:p>
        </w:tc>
      </w:tr>
      <w:tr>
        <w:trPr>
          <w:trHeight w:val="216"/>
        </w:trPr>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Lease liability</w:t>
            </w:r>
          </w:p>
        </w:tc>
        <w:tc>
          <w:tcPr>
            <w:tcW w:w="3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4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209,571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40,058</w:t>
            </w:r>
          </w:p>
        </w:tc>
        <w:tc>
          <w:tcPr>
            <w:tcW w:w="0" w:type="dxa"/>
            <w:vAlign w:val="bottom"/>
          </w:tcPr>
          <w:p>
            <w:pPr>
              <w:spacing w:after="0"/>
              <w:rPr>
                <w:sz w:val="1"/>
                <w:szCs w:val="1"/>
                <w:color w:val="auto"/>
              </w:rPr>
            </w:pPr>
          </w:p>
        </w:tc>
      </w:tr>
      <w:tr>
        <w:trPr>
          <w:trHeight w:val="216"/>
        </w:trPr>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Scheduled repayment</w:t>
            </w:r>
          </w:p>
        </w:tc>
        <w:tc>
          <w:tcPr>
            <w:tcW w:w="4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(57,084)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(161,328)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(39,751)</w:t>
            </w:r>
          </w:p>
        </w:tc>
        <w:tc>
          <w:tcPr>
            <w:tcW w:w="0" w:type="dxa"/>
            <w:vAlign w:val="bottom"/>
          </w:tcPr>
          <w:p>
            <w:pPr>
              <w:spacing w:after="0"/>
              <w:rPr>
                <w:sz w:val="1"/>
                <w:szCs w:val="1"/>
                <w:color w:val="auto"/>
              </w:rPr>
            </w:pPr>
          </w:p>
        </w:tc>
      </w:tr>
      <w:tr>
        <w:trPr>
          <w:trHeight w:val="216"/>
        </w:trPr>
        <w:tc>
          <w:tcPr>
            <w:tcW w:w="3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changes</w:t>
            </w:r>
          </w:p>
        </w:tc>
        <w:tc>
          <w:tcPr>
            <w:tcW w:w="3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5"/>
          </w:tcPr>
          <w:p>
            <w:pPr>
              <w:ind w:left="260"/>
              <w:spacing w:after="0"/>
              <w:rPr>
                <w:sz w:val="20"/>
                <w:szCs w:val="20"/>
                <w:color w:val="auto"/>
              </w:rPr>
            </w:pPr>
            <w:r>
              <w:rPr>
                <w:rFonts w:ascii="Times New Roman" w:cs="Times New Roman" w:eastAsia="Times New Roman" w:hAnsi="Times New Roman"/>
                <w:sz w:val="18"/>
                <w:szCs w:val="18"/>
                <w:i w:val="1"/>
                <w:iCs w:val="1"/>
                <w:color w:val="auto"/>
              </w:rPr>
              <w:t>Addition during the year</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1,355,647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334,026</w:t>
            </w:r>
          </w:p>
        </w:tc>
        <w:tc>
          <w:tcPr>
            <w:tcW w:w="0" w:type="dxa"/>
            <w:vAlign w:val="bottom"/>
          </w:tcPr>
          <w:p>
            <w:pPr>
              <w:spacing w:after="0"/>
              <w:rPr>
                <w:sz w:val="1"/>
                <w:szCs w:val="1"/>
                <w:color w:val="auto"/>
              </w:rPr>
            </w:pPr>
          </w:p>
        </w:tc>
      </w:tr>
      <w:tr>
        <w:trPr>
          <w:trHeight w:val="216"/>
        </w:trPr>
        <w:tc>
          <w:tcPr>
            <w:tcW w:w="382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Modification</w:t>
            </w:r>
          </w:p>
        </w:tc>
        <w:tc>
          <w:tcPr>
            <w:tcW w:w="4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820" w:type="dxa"/>
            <w:vAlign w:val="bottom"/>
            <w:gridSpan w:val="5"/>
          </w:tcPr>
          <w:p>
            <w:pPr>
              <w:ind w:left="260"/>
              <w:spacing w:after="0"/>
              <w:rPr>
                <w:sz w:val="20"/>
                <w:szCs w:val="20"/>
                <w:color w:val="auto"/>
              </w:rPr>
            </w:pPr>
            <w:r>
              <w:rPr>
                <w:rFonts w:ascii="Times New Roman" w:cs="Times New Roman" w:eastAsia="Times New Roman" w:hAnsi="Times New Roman"/>
                <w:sz w:val="18"/>
                <w:szCs w:val="18"/>
                <w:i w:val="1"/>
                <w:iCs w:val="1"/>
                <w:color w:val="auto"/>
              </w:rPr>
              <w:t>Imputed interest</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30"/>
        </w:trPr>
        <w:tc>
          <w:tcPr>
            <w:tcW w:w="382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Termination</w:t>
            </w:r>
          </w:p>
        </w:tc>
        <w:tc>
          <w:tcPr>
            <w:tcW w:w="3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(37,339)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20" w:type="dxa"/>
            <w:vAlign w:val="bottom"/>
            <w:gridSpan w:val="5"/>
            <w:vMerge w:val="continue"/>
          </w:tcPr>
          <w:p>
            <w:pPr>
              <w:spacing w:after="0"/>
              <w:rPr>
                <w:sz w:val="24"/>
                <w:szCs w:val="24"/>
                <w:color w:val="auto"/>
              </w:rPr>
            </w:pPr>
          </w:p>
        </w:tc>
        <w:tc>
          <w:tcPr>
            <w:tcW w:w="3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162,577</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1,360,238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335,158</w:t>
            </w:r>
          </w:p>
        </w:tc>
        <w:tc>
          <w:tcPr>
            <w:tcW w:w="0" w:type="dxa"/>
            <w:vAlign w:val="bottom"/>
          </w:tcPr>
          <w:p>
            <w:pPr>
              <w:spacing w:after="0"/>
              <w:rPr>
                <w:sz w:val="1"/>
                <w:szCs w:val="1"/>
                <w:color w:val="auto"/>
              </w:rPr>
            </w:pPr>
          </w:p>
        </w:tc>
      </w:tr>
      <w:tr>
        <w:trPr>
          <w:trHeight w:val="216"/>
        </w:trPr>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Amount due to shareholders</w:t>
            </w:r>
          </w:p>
        </w:tc>
        <w:tc>
          <w:tcPr>
            <w:tcW w:w="3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4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Repayment</w:t>
            </w:r>
          </w:p>
        </w:tc>
        <w:tc>
          <w:tcPr>
            <w:tcW w:w="3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35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gridSpan w:val="5"/>
            <w:vMerge w:val="continue"/>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Amount due to director</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4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(137,181)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w:t>
            </w:r>
          </w:p>
        </w:tc>
        <w:tc>
          <w:tcPr>
            <w:tcW w:w="3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137,181</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5"/>
            <w:vMerge w:val="continue"/>
          </w:tcPr>
          <w:p>
            <w:pPr>
              <w:spacing w:after="0"/>
              <w:rPr>
                <w:sz w:val="20"/>
                <w:szCs w:val="20"/>
                <w:color w:val="auto"/>
              </w:rPr>
            </w:pPr>
          </w:p>
        </w:tc>
        <w:tc>
          <w:tcPr>
            <w:tcW w:w="3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F-28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INCOME TAX</w:t>
      </w:r>
    </w:p>
    <w:p>
      <w:pPr>
        <w:spacing w:after="0" w:line="239"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b w:val="1"/>
          <w:bCs w:val="1"/>
          <w:color w:val="auto"/>
        </w:rPr>
        <w:t>As of</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payable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beginning of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Deconsolidation of Sagfood (Malaysia) Sdn Bhd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end of the year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380" w:type="dxa"/>
            <w:vAlign w:val="bottom"/>
            <w:tcBorders>
              <w:top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tcBorders>
              <w:top w:val="single" w:sz="8" w:color="auto"/>
            </w:tcBorders>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gridSpan w:val="2"/>
          </w:tcPr>
          <w:p>
            <w:pPr>
              <w:spacing w:after="0"/>
              <w:rPr>
                <w:sz w:val="17"/>
                <w:szCs w:val="17"/>
                <w:color w:val="auto"/>
              </w:rPr>
            </w:pP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4"/>
        </w:trPr>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60" w:type="dxa"/>
            <w:vAlign w:val="bottom"/>
            <w:gridSpan w:val="2"/>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60" w:type="dxa"/>
            <w:vAlign w:val="bottom"/>
            <w:gridSpan w:val="2"/>
          </w:tcPr>
          <w:p>
            <w:pPr>
              <w:spacing w:after="0"/>
              <w:rPr>
                <w:sz w:val="21"/>
                <w:szCs w:val="21"/>
                <w:color w:val="auto"/>
              </w:rPr>
            </w:pPr>
          </w:p>
        </w:tc>
      </w:tr>
      <w:tr>
        <w:trPr>
          <w:trHeight w:val="427"/>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553,111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1,632,210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3,918,926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965,610</w:t>
            </w:r>
          </w:p>
        </w:tc>
        <w:tc>
          <w:tcPr>
            <w:tcW w:w="40" w:type="dxa"/>
            <w:vAlign w:val="bottom"/>
          </w:tcPr>
          <w:p>
            <w:pPr>
              <w:spacing w:after="0"/>
              <w:rPr>
                <w:sz w:val="24"/>
                <w:szCs w:val="24"/>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1,108,790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2,289,416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2,268,365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558,917</w:t>
            </w:r>
          </w:p>
        </w:tc>
        <w:tc>
          <w:tcPr>
            <w:tcW w:w="40" w:type="dxa"/>
            <w:vAlign w:val="bottom"/>
          </w:tcPr>
          <w:p>
            <w:pPr>
              <w:spacing w:after="0"/>
              <w:rPr>
                <w:sz w:val="18"/>
                <w:szCs w:val="18"/>
                <w:color w:val="auto"/>
              </w:rPr>
            </w:pPr>
          </w:p>
        </w:tc>
      </w:tr>
      <w:tr>
        <w:trPr>
          <w:trHeight w:val="230"/>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(29,843)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(1,043,652)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(257,152)</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1,632,210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3,918,926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5,143,639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1,267,375</w:t>
            </w:r>
          </w:p>
        </w:tc>
        <w:tc>
          <w:tcPr>
            <w:tcW w:w="4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-770890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liabilities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Accelerated tax depreciation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beginning of the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767,259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823,938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907,405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223,582</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257,999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24,080</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Deconsolidation of Sagfood (Malaysia) Sdn Bhd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(201,320)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As at end of the year</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gridSpan w:val="3"/>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823,938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907,405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1,005,135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247,662</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Income tax expenses</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Current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1,108,790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2,289,416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2,268,365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558,917</w:t>
            </w:r>
          </w:p>
        </w:tc>
        <w:tc>
          <w:tcPr>
            <w:tcW w:w="0" w:type="dxa"/>
            <w:vAlign w:val="bottom"/>
          </w:tcPr>
          <w:p>
            <w:pPr>
              <w:spacing w:after="0"/>
              <w:rPr>
                <w:sz w:val="1"/>
                <w:szCs w:val="1"/>
                <w:color w:val="auto"/>
              </w:rPr>
            </w:pPr>
          </w:p>
        </w:tc>
      </w:tr>
      <w:tr>
        <w:trPr>
          <w:trHeight w:val="230"/>
        </w:trPr>
        <w:tc>
          <w:tcPr>
            <w:tcW w:w="5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Origination of temporary differences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257,999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24,080</w:t>
            </w:r>
          </w:p>
        </w:tc>
        <w:tc>
          <w:tcPr>
            <w:tcW w:w="0" w:type="dxa"/>
            <w:vAlign w:val="bottom"/>
          </w:tcPr>
          <w:p>
            <w:pPr>
              <w:spacing w:after="0"/>
              <w:rPr>
                <w:sz w:val="1"/>
                <w:szCs w:val="1"/>
                <w:color w:val="auto"/>
              </w:rPr>
            </w:pPr>
          </w:p>
        </w:tc>
      </w:tr>
      <w:tr>
        <w:trPr>
          <w:trHeight w:val="27"/>
        </w:trPr>
        <w:tc>
          <w:tcPr>
            <w:tcW w:w="59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3"/>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1,366,789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2,372,883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2,366,095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582,997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between tax expense and the product of accounting profit multiplied by applicable corporate tax rate for the financial years 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December 31,2023, 2024 and 2025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38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RM</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Tax reconciliation</w:t>
            </w: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6,023,090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9,538,393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9,660,308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2,380,265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calculated at tax rate of 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1,445,542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2,289,214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2,318,473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571,264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Lower domestic tax rate applicable to respective profits</w:t>
            </w: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(38,371)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(46,260)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Different tax rates in jurisdiction*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204,530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Non-allowable expenditure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112,446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625,162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154,037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Income not subject to tax</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(13,877)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(61,405)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(105,925)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(26,099)</w:t>
            </w:r>
          </w:p>
        </w:tc>
        <w:tc>
          <w:tcPr>
            <w:tcW w:w="0" w:type="dxa"/>
            <w:vAlign w:val="bottom"/>
          </w:tcPr>
          <w:p>
            <w:pPr>
              <w:spacing w:after="0"/>
              <w:rPr>
                <w:sz w:val="1"/>
                <w:szCs w:val="1"/>
                <w:color w:val="auto"/>
              </w:rPr>
            </w:pPr>
          </w:p>
        </w:tc>
      </w:tr>
      <w:tr>
        <w:trPr>
          <w:trHeight w:val="229"/>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Utilization of capital allowance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(134,940)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(79,923)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(489,068)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(120,505)</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1,366,789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2,372,883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2,366,095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582,997</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is formed in British Virgin Islands and is not subject to tax on its income or capital gains. In addition, upon payments of dividends by the Company to its shareholders, no British Virgin Islands withholding tax is imposed.</w:t>
      </w:r>
    </w:p>
    <w:p>
      <w:pPr>
        <w:spacing w:after="0" w:line="162" w:lineRule="exact"/>
        <w:rPr>
          <w:sz w:val="20"/>
          <w:szCs w:val="20"/>
          <w:color w:val="auto"/>
        </w:rPr>
      </w:pPr>
    </w:p>
    <w:p>
      <w:pPr>
        <w:jc w:val="both"/>
        <w:ind w:left="340" w:hanging="332"/>
        <w:spacing w:after="0" w:line="261"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formed in Malaysia and is subject to the corporate tax on taxable income derived from its activities conducted in Malaysia. Malaysia companies with a paid-up capital of not more than RM 2.5 million and a gross business income of not more than RM 50 million are taxed at different rates based on their taxable profit. The first RM 150,000 is taxed at 15%, the next RM 450,000 (up to RM 600,000) at 17%, and any amount exceeding RM 600,000 is taxed at 24%. Companies that do not fall into this category are taxed at a standard rate of 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17</w:t>
            </w:r>
          </w:p>
        </w:tc>
        <w:tc>
          <w:tcPr>
            <w:tcW w:w="43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4"/>
        </w:trPr>
        <w:tc>
          <w:tcPr>
            <w:tcW w:w="7220" w:type="dxa"/>
            <w:vAlign w:val="bottom"/>
            <w:tcBorders>
              <w:top w:val="single" w:sz="8" w:color="CCEEFF"/>
            </w:tcBorders>
            <w:gridSpan w:val="9"/>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Bargain purchase accounted as merger reserve in equity from acquisition of CL Technologies</w:t>
            </w: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shd w:val="clear" w:color="auto" w:fill="CCEEFF"/>
          </w:tcPr>
          <w:p>
            <w:pPr>
              <w:spacing w:after="0"/>
              <w:rPr>
                <w:sz w:val="20"/>
                <w:szCs w:val="20"/>
                <w:color w:val="auto"/>
              </w:rPr>
            </w:pPr>
          </w:p>
        </w:tc>
        <w:tc>
          <w:tcPr>
            <w:tcW w:w="4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Sdn Bhd</w:t>
            </w:r>
          </w:p>
        </w:tc>
        <w:tc>
          <w:tcPr>
            <w:tcW w:w="1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2,263,143</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2,263,143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557,630</w:t>
            </w:r>
          </w:p>
        </w:tc>
        <w:tc>
          <w:tcPr>
            <w:tcW w:w="0" w:type="dxa"/>
            <w:vAlign w:val="bottom"/>
          </w:tcPr>
          <w:p>
            <w:pPr>
              <w:spacing w:after="0"/>
              <w:rPr>
                <w:sz w:val="1"/>
                <w:szCs w:val="1"/>
                <w:color w:val="auto"/>
              </w:rPr>
            </w:pPr>
          </w:p>
        </w:tc>
      </w:tr>
      <w:tr>
        <w:trPr>
          <w:trHeight w:val="229"/>
        </w:trPr>
        <w:tc>
          <w:tcPr>
            <w:tcW w:w="7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Bargain purchase accounted as merger reserve in equity from acquisition of Sagtec Group Sdn Bhd</w:t>
            </w:r>
          </w:p>
        </w:tc>
        <w:tc>
          <w:tcPr>
            <w:tcW w:w="140" w:type="dxa"/>
            <w:vAlign w:val="bottom"/>
          </w:tcPr>
          <w:p>
            <w:pPr>
              <w:spacing w:after="0"/>
              <w:rPr>
                <w:sz w:val="19"/>
                <w:szCs w:val="19"/>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1,017,245</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1,017,245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250,646</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3,280,388</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3,280,388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808,276</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18</w:t>
            </w:r>
          </w:p>
        </w:tc>
        <w:tc>
          <w:tcPr>
            <w:tcW w:w="4380" w:type="dxa"/>
            <w:vAlign w:val="bottom"/>
            <w:tcBorders>
              <w:top w:val="single" w:sz="8" w:color="CCEEFF"/>
              <w:bottom w:val="single" w:sz="8" w:color="CCEEFF"/>
            </w:tcBorders>
            <w:gridSpan w:val="5"/>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80" w:type="dxa"/>
            <w:vAlign w:val="bottom"/>
            <w:vMerge w:val="continue"/>
          </w:tcPr>
          <w:p>
            <w:pPr>
              <w:spacing w:after="0"/>
              <w:rPr>
                <w:sz w:val="24"/>
                <w:szCs w:val="24"/>
                <w:color w:val="auto"/>
              </w:rPr>
            </w:pPr>
          </w:p>
        </w:tc>
        <w:tc>
          <w:tcPr>
            <w:tcW w:w="4380" w:type="dxa"/>
            <w:vAlign w:val="bottom"/>
            <w:gridSpan w:val="5"/>
            <w:vMerge w:val="continue"/>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RM</w:t>
            </w:r>
          </w:p>
        </w:tc>
        <w:tc>
          <w:tcPr>
            <w:tcW w:w="14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services</w:t>
            </w:r>
          </w:p>
        </w:tc>
        <w:tc>
          <w:tcPr>
            <w:tcW w:w="1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11,586,954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30,656,389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49,568,699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Revenue from tangible products</w:t>
            </w:r>
          </w:p>
        </w:tc>
        <w:tc>
          <w:tcPr>
            <w:tcW w:w="2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11,522,334</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21,342,990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26,915,775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6,631,952</w:t>
            </w: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rental of machinery</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252,803</w:t>
            </w:r>
          </w:p>
        </w:tc>
        <w:tc>
          <w:tcPr>
            <w:tcW w:w="0" w:type="dxa"/>
            <w:vAlign w:val="bottom"/>
          </w:tcPr>
          <w:p>
            <w:pPr>
              <w:spacing w:after="0"/>
              <w:rPr>
                <w:sz w:val="1"/>
                <w:szCs w:val="1"/>
                <w:color w:val="auto"/>
              </w:rPr>
            </w:pPr>
          </w:p>
        </w:tc>
      </w:tr>
      <w:tr>
        <w:trPr>
          <w:trHeight w:val="236"/>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Revenue from others</w:t>
            </w:r>
          </w:p>
        </w:tc>
        <w:tc>
          <w:tcPr>
            <w:tcW w:w="2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1,182,239</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non-related parties</w:t>
            </w:r>
          </w:p>
        </w:tc>
        <w:tc>
          <w:tcPr>
            <w:tcW w:w="1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24,292,181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51,999,379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77,510,474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related parties - services</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2,241,230</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Revenue from related parties - tangible products</w:t>
            </w:r>
          </w:p>
        </w:tc>
        <w:tc>
          <w:tcPr>
            <w:tcW w:w="2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2,747,238</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1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4,988,468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29,280,649</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51,999,379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77,510,474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19,098,306</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4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services</w:t>
            </w:r>
          </w:p>
        </w:tc>
        <w:tc>
          <w:tcPr>
            <w:tcW w:w="2820" w:type="dxa"/>
            <w:vAlign w:val="bottom"/>
            <w:tcBorders>
              <w:bottom w:val="single" w:sz="8" w:color="CCEEFF"/>
            </w:tcBorders>
            <w:gridSpan w:val="3"/>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1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over time</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3,605,525</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12,030,103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23,393,531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5,764,082</w:t>
            </w:r>
          </w:p>
        </w:tc>
        <w:tc>
          <w:tcPr>
            <w:tcW w:w="0" w:type="dxa"/>
            <w:vAlign w:val="bottom"/>
          </w:tcPr>
          <w:p>
            <w:pPr>
              <w:spacing w:after="0"/>
              <w:rPr>
                <w:sz w:val="1"/>
                <w:szCs w:val="1"/>
                <w:color w:val="auto"/>
              </w:rPr>
            </w:pPr>
          </w:p>
        </w:tc>
      </w:tr>
      <w:tr>
        <w:trPr>
          <w:trHeight w:val="216"/>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Software consultation and development services</w:t>
            </w:r>
          </w:p>
        </w:tc>
        <w:tc>
          <w:tcPr>
            <w:tcW w:w="2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2,865,215</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5,678,947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8,593,264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2,117,350</w:t>
            </w: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media management services</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2,782,963</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4,817,229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6,344,672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1,563,305</w:t>
            </w:r>
          </w:p>
        </w:tc>
        <w:tc>
          <w:tcPr>
            <w:tcW w:w="0" w:type="dxa"/>
            <w:vAlign w:val="bottom"/>
          </w:tcPr>
          <w:p>
            <w:pPr>
              <w:spacing w:after="0"/>
              <w:rPr>
                <w:sz w:val="1"/>
                <w:szCs w:val="1"/>
                <w:color w:val="auto"/>
              </w:rPr>
            </w:pPr>
          </w:p>
        </w:tc>
      </w:tr>
      <w:tr>
        <w:trPr>
          <w:trHeight w:val="237"/>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Data management &amp; analysis services</w:t>
            </w:r>
          </w:p>
        </w:tc>
        <w:tc>
          <w:tcPr>
            <w:tcW w:w="2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4,574,481</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8,130,110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11,237,232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2,768,814</w:t>
            </w: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13,828,184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30,656,389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49,568,699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tangible products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1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ordering kiosk with screen</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7,405,006</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9,999,245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16,483,810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4,061,553</w:t>
            </w:r>
          </w:p>
        </w:tc>
        <w:tc>
          <w:tcPr>
            <w:tcW w:w="0" w:type="dxa"/>
            <w:vAlign w:val="bottom"/>
          </w:tcPr>
          <w:p>
            <w:pPr>
              <w:spacing w:after="0"/>
              <w:rPr>
                <w:sz w:val="1"/>
                <w:szCs w:val="1"/>
                <w:color w:val="auto"/>
              </w:rPr>
            </w:pPr>
          </w:p>
        </w:tc>
      </w:tr>
      <w:tr>
        <w:trPr>
          <w:trHeight w:val="237"/>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Power bank charging station</w:t>
            </w:r>
          </w:p>
        </w:tc>
        <w:tc>
          <w:tcPr>
            <w:tcW w:w="2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6,864,566</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11,343,745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10,431,965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2,570,399</w:t>
            </w: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14,269,572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21,342,990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26,915,775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from rental of machinery</w:t>
            </w:r>
          </w:p>
        </w:tc>
        <w:tc>
          <w:tcPr>
            <w:tcW w:w="1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of power bank machine</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Coffee Machine Kiosk Rental</w:t>
            </w:r>
          </w:p>
        </w:tc>
        <w:tc>
          <w:tcPr>
            <w:tcW w:w="2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252,803</w:t>
            </w: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from others</w:t>
            </w:r>
          </w:p>
        </w:tc>
        <w:tc>
          <w:tcPr>
            <w:tcW w:w="2940" w:type="dxa"/>
            <w:vAlign w:val="bottom"/>
            <w:tcBorders>
              <w:bottom w:val="single" w:sz="8" w:color="CCEEFF"/>
            </w:tcBorders>
            <w:gridSpan w:val="4"/>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1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6"/>
          </w:tcPr>
          <w:p>
            <w:pPr>
              <w:ind w:left="180"/>
              <w:spacing w:after="0"/>
              <w:rPr>
                <w:sz w:val="20"/>
                <w:szCs w:val="20"/>
                <w:color w:val="auto"/>
              </w:rPr>
            </w:pPr>
            <w:r>
              <w:rPr>
                <w:rFonts w:ascii="Times New Roman" w:cs="Times New Roman" w:eastAsia="Times New Roman" w:hAnsi="Times New Roman"/>
                <w:sz w:val="18"/>
                <w:szCs w:val="18"/>
                <w:i w:val="1"/>
                <w:iCs w:val="1"/>
                <w:color w:val="auto"/>
              </w:rPr>
              <w:t>Performance obligation satisfied at point in time</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catering, restaurant and sales of foods</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1,182,239</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29,280,649</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51,999,379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77,510,474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19,098,306</w:t>
            </w:r>
          </w:p>
        </w:tc>
        <w:tc>
          <w:tcPr>
            <w:tcW w:w="0" w:type="dxa"/>
            <w:vAlign w:val="bottom"/>
          </w:tcPr>
          <w:p>
            <w:pPr>
              <w:spacing w:after="0"/>
              <w:rPr>
                <w:sz w:val="1"/>
                <w:szCs w:val="1"/>
                <w:color w:val="auto"/>
              </w:rPr>
            </w:pPr>
          </w:p>
        </w:tc>
      </w:tr>
      <w:tr>
        <w:trPr>
          <w:trHeight w:val="655"/>
        </w:trPr>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F-30</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price allocated to remaining performance obligation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expects that the transaction price allocated to remaining unsatisfied (or partially unsatisfied) performance obligation as at December 31, 2024 and 2025 may be recognized as revenue in the next reporting periods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Unsatisfied and partially unsatisfied performance obligation as at</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2,691,244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Unsatisfied performance obligation solely consists of deferred revenue, money received for goods or services not yet delivered or performed.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6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11,505,970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12,321,935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17,555,560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4,325,629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590,587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1,704,750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1,679,862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2,116,150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3,490,773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1,292,349</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1,624,383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3,496,317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861,480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574,501</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2,296,705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Server maintenance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1,463,433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19,053,935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30,340,342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7,475,753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4,006,075</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2,608,275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2,705,764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666,690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vMerge w:val="continue"/>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21,112,777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39,841,428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59,885,461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14,755,566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Cost of sales from services consists of purchases and maintenance of power server, purchases of API software, dealer commissions, marketing and advertisement expenses spent on behalf of customers, server maintenance, source code, software development and depreciation.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from tangible products consist of purchases of thermal paper roll, food ordering kiosk and power bank charging machine.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from rental consists of depreciation.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Cost of sales from others consists of purchase of kitchen supplies, material and packaging cost and venue cost, depreciation and packaging machine.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depreciation under cost of sale amount RM 1,624,383 and RM 3,496,317 for year ended December 31, 2024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94"/>
        </w:trPr>
        <w:tc>
          <w:tcPr>
            <w:tcW w:w="4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4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6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Director emoluments</w:t>
            </w:r>
          </w:p>
        </w:tc>
        <w:tc>
          <w:tcPr>
            <w:tcW w:w="2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536,770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678,306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1,011,040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249,117</w:t>
            </w:r>
          </w:p>
        </w:tc>
      </w:tr>
      <w:tr>
        <w:trPr>
          <w:trHeight w:val="216"/>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Staff costs</w:t>
            </w:r>
          </w:p>
        </w:tc>
        <w:tc>
          <w:tcPr>
            <w:tcW w:w="2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4,086,584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2,704,655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2,351,151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579,315</w:t>
            </w:r>
          </w:p>
        </w:tc>
      </w:tr>
      <w:tr>
        <w:trPr>
          <w:trHeight w:val="216"/>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Employer Contribution to Defined Contribution Plan</w:t>
            </w:r>
          </w:p>
        </w:tc>
        <w:tc>
          <w:tcPr>
            <w:tcW w:w="2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465,845</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277,719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212,975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52,476</w:t>
            </w:r>
          </w:p>
        </w:tc>
      </w:tr>
      <w:tr>
        <w:trPr>
          <w:trHeight w:val="216"/>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Employer Contribution to Insurance Scheme</w:t>
            </w:r>
          </w:p>
        </w:tc>
        <w:tc>
          <w:tcPr>
            <w:tcW w:w="2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24,522</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3,726</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2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1,639,079</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1,687,992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3,575,849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881,076</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ROU</w:t>
            </w:r>
          </w:p>
        </w:tc>
        <w:tc>
          <w:tcPr>
            <w:tcW w:w="2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102,379</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52,888</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on expected credit loss</w:t>
            </w:r>
          </w:p>
        </w:tc>
        <w:tc>
          <w:tcPr>
            <w:tcW w:w="2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90,205</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302,921</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warranty</w:t>
            </w:r>
          </w:p>
        </w:tc>
        <w:tc>
          <w:tcPr>
            <w:tcW w:w="2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459,420</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202,929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on reinstatement cost</w:t>
            </w:r>
          </w:p>
        </w:tc>
        <w:tc>
          <w:tcPr>
            <w:tcW w:w="2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6,233</w:t>
            </w:r>
          </w:p>
        </w:tc>
      </w:tr>
      <w:tr>
        <w:trPr>
          <w:trHeight w:val="655"/>
        </w:trPr>
        <w:tc>
          <w:tcPr>
            <w:tcW w:w="4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F-31</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352"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both"/>
        <w:ind w:left="660" w:right="7140" w:hanging="652"/>
        <w:spacing w:after="0" w:line="532" w:lineRule="auto"/>
        <w:tabs>
          <w:tab w:leader="none" w:pos="66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OF ASSETS &amp; LIABILITIES </w:t>
      </w:r>
      <w:r>
        <w:rPr>
          <w:rFonts w:ascii="Times New Roman" w:cs="Times New Roman" w:eastAsia="Times New Roman" w:hAnsi="Times New Roman"/>
          <w:sz w:val="17"/>
          <w:szCs w:val="17"/>
          <w:color w:val="auto"/>
        </w:rPr>
        <w:t>Asset and liabilities not measured at fair value.</w:t>
      </w:r>
    </w:p>
    <w:p>
      <w:pPr>
        <w:spacing w:after="0" w:line="1"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Cash and bank balance, other receivables and payables carrying amounts of these balances approximate their fair values due to the short-term nature of these balances.</w:t>
      </w:r>
    </w:p>
    <w:p>
      <w:pPr>
        <w:spacing w:after="0" w:line="161"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Trade receivables and trade payables carrying amounts (including trade balances due from/to related parties) approximate their fair values as they are subject to normal trade credit terms.</w:t>
      </w:r>
    </w:p>
    <w:p>
      <w:pPr>
        <w:spacing w:after="0" w:line="161"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Bank borrowings carrying amounts approximate their fair values as they are subject to interest rates close to market rate of interests for similar arrangements with financial institutions.</w:t>
      </w:r>
    </w:p>
    <w:p>
      <w:pPr>
        <w:spacing w:after="0" w:line="161" w:lineRule="exact"/>
        <w:rPr>
          <w:rFonts w:ascii="Times New Roman" w:cs="Times New Roman" w:eastAsia="Times New Roman" w:hAnsi="Times New Roman"/>
          <w:sz w:val="17"/>
          <w:szCs w:val="17"/>
          <w:b w:val="1"/>
          <w:bCs w:val="1"/>
          <w:color w:val="auto"/>
        </w:rPr>
      </w:pPr>
    </w:p>
    <w:p>
      <w:pPr>
        <w:ind w:left="66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Non-financial assets, including prepayments arising from share-based payment arrangements, are not within the scope of fair value disclosure under financial instruments standards and are therefore excluded from this disclosure.</w:t>
      </w:r>
    </w:p>
    <w:p>
      <w:pPr>
        <w:spacing w:after="0" w:line="157"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activities expose it to various risks, including market risk (comprising currency risk and interest rate risk), credit risk, and liquidity risk. The Company overall risk management strategy aims to minimize any adverse effects from the unpredictability of financial markets on its financial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Translation</w:t>
            </w:r>
          </w:p>
        </w:tc>
      </w:tr>
      <w:tr>
        <w:trPr>
          <w:trHeight w:val="245"/>
        </w:trPr>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89"/>
        </w:trPr>
        <w:tc>
          <w:tcPr>
            <w:tcW w:w="73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474,716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9,161,045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2,257,250</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8,409,351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9,975,198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2,457,853</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2,103,818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35,169</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1,179,430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1,700,892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419,094</w:t>
            </w:r>
          </w:p>
        </w:tc>
      </w:tr>
      <w:tr>
        <w:trPr>
          <w:trHeight w:val="216"/>
        </w:trPr>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82,559</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payables &amp; accrued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422,973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1,463,610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360,628</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borrowings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3,367,302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5,032,533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1,239,999</w:t>
            </w:r>
          </w:p>
        </w:tc>
      </w:tr>
      <w:tr>
        <w:trPr>
          <w:trHeight w:val="234"/>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1,360,238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335,158</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expose to foreign currency risk due to transactions and balances denominated in currencies other than the functional currency of the respective entities of the Group, with the primary risk arising from the Chinese Renminbi (“RMB”). The Group closely monitor foreign currency risk on an ongoing basis to ensure that our net exposure remains at an acceptable level.</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is subject to minimal foreign currency risk due to its foreign supplier policy of making prepayments in advance of delivery, thus eliminating the need for credit terms.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exposed to interest rate risk arise mainly from interest-bearing bank loans. The interest rates and repayment terms of these loans are disclosed in Note 14 of the financial statements. Currently, The Group does not have an interest rate hedging policy. The sensitivity analysis below is based on our exposure to interest rates for non-derivative instruments at the end of the reporting period.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We use a 50-basis point increase or decrease to report interest rate risk internally to key management personnel, as this represents management’s assessment of a reasonably possible change in interest rates. If interest rates on loans had been 50 basis points higher or lower, with all other variables held constant, our profit would decrease or increase by approximately RM 15,098 for the year ended December 31, 2025 and RM 16,707 for the year ended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RISK MANAGEMENT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Liquidity risk arises mainly due to general funding and business activities. The Group practices prudent risk management by maintaining sufficient cash balances and the availability of funding through certain committed credit facilities. The table below analyses non-derivative financial liabilities of the Group into relevant maturity groupings based on the remaining period from the statement of financial position date to the contractual maturity date. The amounts disclosed in the table are the contractual undiscounted cash flows, which includes both principal and interest. Balances due within 12 months equal their carrying amounts as the impact of discounting is not significant.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94"/>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tcPr>
          <w:p>
            <w:pPr>
              <w:spacing w:after="0"/>
              <w:rPr>
                <w:sz w:val="16"/>
                <w:szCs w:val="16"/>
                <w:color w:val="auto"/>
              </w:rPr>
            </w:pP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5"/>
        </w:trPr>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175"/>
        </w:trPr>
        <w:tc>
          <w:tcPr>
            <w:tcW w:w="1340" w:type="dxa"/>
            <w:vAlign w:val="bottom"/>
            <w:tcBorders>
              <w:bottom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Bank borrowings</w:t>
            </w:r>
          </w:p>
        </w:tc>
        <w:tc>
          <w:tcPr>
            <w:tcW w:w="59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7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Repayment within: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976,072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1,515,098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373,315</w:t>
            </w: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963,436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373,459</w:t>
            </w: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5 years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1,693,768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2,805,652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691,303</w:t>
            </w: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288,536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31,172</w:t>
            </w:r>
          </w:p>
        </w:tc>
      </w:tr>
      <w:tr>
        <w:trPr>
          <w:trHeight w:val="216"/>
        </w:trPr>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Bank overdraft</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20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Lease liabilities</w:t>
            </w:r>
          </w:p>
        </w:tc>
        <w:tc>
          <w:tcPr>
            <w:tcW w:w="612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Repayment within: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382,416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94,226</w:t>
            </w: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61,884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89,742</w:t>
            </w: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5 years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672,552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165,714</w:t>
            </w: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22,745</w:t>
            </w:r>
          </w:p>
        </w:tc>
      </w:tr>
      <w:tr>
        <w:trPr>
          <w:trHeight w:val="216"/>
        </w:trPr>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Trade payable</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82,559</w:t>
            </w:r>
          </w:p>
        </w:tc>
      </w:tr>
      <w:tr>
        <w:trPr>
          <w:trHeight w:val="216"/>
        </w:trPr>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 payable</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4"/>
        </w:trPr>
        <w:tc>
          <w:tcPr>
            <w:tcW w:w="7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Repayment within less than 1 year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422,973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1,749,353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431,035</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Credit risk primarily arises from the possibility of customers failing to fulfill their payment obligations for the services provided. The Group addresses this risk by conducting thorough customer screening and segmentation based on creditworthiness, setting appropriate credit limits, and enforcing stringent payment terms such as upfront payments and short billing cycles.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RISK MANAGEMENT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Expected credit losses are measured as the difference in the present value of the contractual cash flows that are due to the Company under the contract, and the cash flows that the Company expects to receive. The Company assesses all information available, including past due status, and forward looking macro- economic factors in the measurement of the expected credit losses associated with its assets carried at amortized cost.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189"/>
        </w:trPr>
        <w:tc>
          <w:tcPr>
            <w:tcW w:w="73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Trade receivable</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Collection within less than 1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8,409,351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11,204,601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Other receivables</w:t>
            </w:r>
          </w:p>
        </w:tc>
        <w:tc>
          <w:tcPr>
            <w:tcW w:w="59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Collection within less than 1 year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2,103,818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142,730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35,169</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Lifetime expected credit 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at January 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expected credit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302,921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As at December 31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3"/>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1,229,403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302,921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made a deliberate decision to abstain from setting aside any provision for doubtful debt, given the fact that by February 28, 2025, the company had successfully received complete settlement of all outstanding amounts owed by trade receivables.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recognises impairment losses based on the expected credit loss (ECL) model in accordance with IFRS 9 Financial Instruments. The ECL is measured using a lifetime expected credit loss approach for trade receivables, which reflects historical credit loss experience, current conditions, and forward-looking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RISK MANAGEMENT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manages its capital to ensure that entities within our Company will be able to maintain an optimal capital structure so as to support our businesses and maximize shareholders value. To achieve this objective, we may make adjustments to the capital structure in view of changes in economic conditions, such as adjusting the amount of dividend payment, returning of capital to shareholders or issuing new shares.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manage its capital based on debt-to-equity ratio that complies with debt covenants and regulatory, if any. The debt-to-equity ratio is calculated as net debt divided by total equity. Net debt is calculated as lease liability, borrowings and bank overdraft plus trade and other payables less cash and bank balances. Total capital is calculated as total equity plus net debts. Capital includes equity attributable to the owners of the parent and non-controlling interest.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710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r>
      <w:tr>
        <w:trPr>
          <w:trHeight w:val="245"/>
        </w:trPr>
        <w:tc>
          <w:tcPr>
            <w:tcW w:w="7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r>
      <w:tr>
        <w:trPr>
          <w:trHeight w:val="194"/>
        </w:trPr>
        <w:tc>
          <w:tcPr>
            <w:tcW w:w="7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Convenience</w:t>
            </w:r>
          </w:p>
        </w:tc>
        <w:tc>
          <w:tcPr>
            <w:tcW w:w="22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710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debt/(Net cash)</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2,298,706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(2,670,486)</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(657,998)</w:t>
            </w:r>
          </w:p>
        </w:tc>
        <w:tc>
          <w:tcPr>
            <w:tcW w:w="220" w:type="dxa"/>
            <w:vAlign w:val="bottom"/>
            <w:tcBorders>
              <w:top w:val="single" w:sz="8" w:color="CCEEFF"/>
            </w:tcBorders>
            <w:shd w:val="clear" w:color="auto" w:fill="CCEEFF"/>
          </w:tcPr>
          <w:p>
            <w:pPr>
              <w:spacing w:after="0"/>
              <w:rPr>
                <w:sz w:val="18"/>
                <w:szCs w:val="18"/>
                <w:color w:val="auto"/>
              </w:rPr>
            </w:pPr>
          </w:p>
        </w:tc>
      </w:tr>
      <w:tr>
        <w:trPr>
          <w:trHeight w:val="23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17,384,201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102,011,998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25,135,395</w:t>
            </w:r>
          </w:p>
        </w:tc>
      </w:tr>
      <w:tr>
        <w:trPr>
          <w:trHeight w:val="216"/>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19,682,907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99,341,512</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24,477,397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Gearing ratio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bl>
    <w:p>
      <w:pPr>
        <w:spacing w:after="0" w:line="194" w:lineRule="exact"/>
        <w:rPr>
          <w:sz w:val="20"/>
          <w:szCs w:val="20"/>
          <w:color w:val="auto"/>
        </w:rPr>
      </w:pPr>
    </w:p>
    <w:p>
      <w:pPr>
        <w:ind w:left="660" w:right="8100" w:hanging="652"/>
        <w:spacing w:after="0" w:line="503" w:lineRule="auto"/>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CONCENTRATIONS OF RISK </w:t>
      </w:r>
      <w:r>
        <w:rPr>
          <w:rFonts w:ascii="Times New Roman" w:cs="Times New Roman" w:eastAsia="Times New Roman" w:hAnsi="Times New Roman"/>
          <w:sz w:val="18"/>
          <w:szCs w:val="18"/>
          <w:u w:val="single" w:color="auto"/>
          <w:color w:val="auto"/>
        </w:rPr>
        <w:t>Customer Concentration</w:t>
      </w: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2024, the Company generated total revenue of RM 51,999,379, of which three customers accounted for more than 61% of the Company’s total revenue.</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period ended December 31, 2025, the Company generated total revenue of RM 77,510,474, of which three customers accounted for more than 57% of the Company’s total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Borders>
              <w:top w:val="single" w:sz="8" w:color="auto"/>
            </w:tcBorders>
            <w:gridSpan w:val="4"/>
          </w:tcPr>
          <w:p>
            <w:pPr>
              <w:ind w:left="7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6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66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8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RM</w:t>
            </w:r>
          </w:p>
        </w:tc>
        <w:tc>
          <w:tcPr>
            <w:tcW w:w="11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 Prominent Sdn Bhd</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20,123,827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12,614,057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25.96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4,619,325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KLC Ventures Sdn Bhd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14,901,768</w:t>
            </w: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6,701,850</w:t>
            </w:r>
          </w:p>
        </w:tc>
        <w:tc>
          <w:tcPr>
            <w:tcW w:w="15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19.23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2,642,090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504,341</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Rams Solutions Sdn Bhd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9,426,101</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12,585,409</w:t>
            </w:r>
          </w:p>
        </w:tc>
        <w:tc>
          <w:tcPr>
            <w:tcW w:w="15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12.16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44,451,696</w:t>
            </w:r>
          </w:p>
        </w:tc>
        <w:tc>
          <w:tcPr>
            <w:tcW w:w="2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31,901,316</w:t>
            </w:r>
          </w:p>
        </w:tc>
        <w:tc>
          <w:tcPr>
            <w:tcW w:w="15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57.35</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7,261,415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3,844,561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F-35</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right="7580" w:hanging="652"/>
        <w:spacing w:after="0" w:line="503" w:lineRule="auto"/>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CONCENTRATIONS OF RISK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Vendor Concentration</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2024, the Company incurred cost of sale of RM 39,841,428, of which two vendor accounted for more than 60% of the Company’s total cost of sale.</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period ended December 31, 2025, the Company incurred cost of sale of RM 59,885,461, of which two vendors accounted for more than 61% of the Company’s total cost of sale.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Borders>
              <w:top w:val="single" w:sz="8" w:color="auto"/>
            </w:tcBorders>
            <w:gridSpan w:val="4"/>
          </w:tcPr>
          <w:p>
            <w:pPr>
              <w:ind w:left="7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220" w:type="dxa"/>
            <w:vAlign w:val="bottom"/>
          </w:tcPr>
          <w:p>
            <w:pPr>
              <w:spacing w:after="0"/>
              <w:rPr>
                <w:sz w:val="16"/>
                <w:szCs w:val="16"/>
                <w:color w:val="auto"/>
              </w:rPr>
            </w:pPr>
          </w:p>
        </w:tc>
        <w:tc>
          <w:tcPr>
            <w:tcW w:w="1620" w:type="dxa"/>
            <w:vAlign w:val="bottom"/>
            <w:tcBorders>
              <w:top w:val="single" w:sz="8" w:color="auto"/>
            </w:tcBorders>
            <w:gridSpan w:val="3"/>
          </w:tcPr>
          <w:p>
            <w:pPr>
              <w:jc w:val="center"/>
              <w:ind w:left="672"/>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Accounts</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7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7"/>
              </w:rPr>
              <w:t>Cost of sale</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cost of sales</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payable, trade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700" w:type="dxa"/>
            <w:vAlign w:val="bottom"/>
            <w:tcBorders>
              <w:top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8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62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8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jc w:val="center"/>
              <w:ind w:right="2490"/>
              <w:spacing w:after="0"/>
              <w:rPr>
                <w:sz w:val="20"/>
                <w:szCs w:val="20"/>
                <w:color w:val="auto"/>
              </w:rPr>
            </w:pPr>
            <w:r>
              <w:rPr>
                <w:rFonts w:ascii="Times New Roman" w:cs="Times New Roman" w:eastAsia="Times New Roman" w:hAnsi="Times New Roman"/>
                <w:sz w:val="18"/>
                <w:szCs w:val="18"/>
                <w:color w:val="auto"/>
                <w:w w:val="97"/>
              </w:rPr>
              <w:t>Vendor A</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14,114,441</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10,554,444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37.62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9"/>
              </w:rPr>
              <w:t>Vendor B</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22,530,248</w:t>
            </w:r>
          </w:p>
        </w:tc>
        <w:tc>
          <w:tcPr>
            <w:tcW w:w="3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13,699,556</w:t>
            </w:r>
          </w:p>
        </w:tc>
        <w:tc>
          <w:tcPr>
            <w:tcW w:w="15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23.57</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26.49</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jc w:val="center"/>
              <w:ind w:right="2450"/>
              <w:spacing w:after="0"/>
              <w:rPr>
                <w:sz w:val="20"/>
                <w:szCs w:val="20"/>
                <w:color w:val="auto"/>
              </w:rPr>
            </w:pPr>
            <w:r>
              <w:rPr>
                <w:rFonts w:ascii="Times New Roman" w:cs="Times New Roman" w:eastAsia="Times New Roman" w:hAnsi="Times New Roman"/>
                <w:sz w:val="18"/>
                <w:szCs w:val="18"/>
                <w:color w:val="auto"/>
                <w:w w:val="99"/>
              </w:rPr>
              <w:t>Total</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36,644,689</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24,254,000</w:t>
            </w:r>
          </w:p>
        </w:tc>
        <w:tc>
          <w:tcPr>
            <w:tcW w:w="15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61.19</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60.88</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determine the basis of operating segments by analyzing the Group’s various revenue streams. They consider the nature of these revenues, the markets served, and the internal reporting structure. By segmenting the Group into distinct operating units, each with unique financial metrics and strategic goals, directors gain clearer insights into performance. This segmentation informs business decisions and resource allocation, allowing directors to target investments, manage costs, and optimize operations effectively for each segment.</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operations are located in Malaysia. All of the Group’s revenue from external customers based on the location of the Group’s operations is from Malaysia. The geographical locations of the Group’s non-current assets are mostly situated in Malaysia based on physical location of 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41"/>
              <w:spacing w:after="0" w:line="194" w:lineRule="exact"/>
              <w:rPr>
                <w:sz w:val="20"/>
                <w:szCs w:val="20"/>
                <w:color w:val="auto"/>
              </w:rPr>
            </w:pPr>
            <w:r>
              <w:rPr>
                <w:rFonts w:ascii="Times New Roman" w:cs="Times New Roman" w:eastAsia="Times New Roman" w:hAnsi="Times New Roman"/>
                <w:sz w:val="18"/>
                <w:szCs w:val="18"/>
                <w:b w:val="1"/>
                <w:bCs w:val="1"/>
                <w:color w:val="auto"/>
              </w:rPr>
              <w:t>Data</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Analysis &amp;</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SAAS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Outright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Customization</w:t>
            </w: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RM</w:t>
            </w:r>
          </w:p>
        </w:tc>
        <w:tc>
          <w:tcPr>
            <w:tcW w:w="2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w:t>
            </w:r>
          </w:p>
        </w:tc>
        <w:tc>
          <w:tcPr>
            <w:tcW w:w="10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3,605,525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2,865,215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7,357,444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14,269,572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1,182,893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29,280,649</w:t>
            </w:r>
          </w:p>
        </w:tc>
        <w:tc>
          <w:tcPr>
            <w:tcW w:w="100" w:type="dxa"/>
            <w:vAlign w:val="bottom"/>
            <w:shd w:val="clear" w:color="auto" w:fill="CCEEFF"/>
          </w:tcPr>
          <w:p>
            <w:pPr>
              <w:spacing w:after="0"/>
              <w:rPr>
                <w:sz w:val="18"/>
                <w:szCs w:val="18"/>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(992,815)</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(2,189,450)</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(7,892,692)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(9,472,173)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(565,647)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(21,112,777)</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2,612,710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675,765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4,797,399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Selling &amp; Administrative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(545,638)</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(545,638)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(545,638)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(545,638)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(545,638)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(2,728,190)</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Gain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662,701</w:t>
            </w: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7"/>
              </w:rPr>
              <w:t>2,067,072</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130,127</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(1,080,886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4,251,761</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734,309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6,102,383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Segment depreciation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983,447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163,908</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327,816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1,639,079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amortization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61,427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10,238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102,379</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12,779,177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2,129,863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4,259,726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1,064,931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1,064,931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21,298,628</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Segment Liabilities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6,647,962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1,107,994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2,215,987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553,997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553,997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11,079,937</w:t>
            </w:r>
          </w:p>
        </w:tc>
      </w:tr>
      <w:tr>
        <w:trPr>
          <w:trHeight w:val="27"/>
        </w:trPr>
        <w:tc>
          <w:tcPr>
            <w:tcW w:w="3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F-36</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SEGMENTS </w:t>
            </w:r>
            <w:r>
              <w:rPr>
                <w:rFonts w:ascii="Times New Roman" w:cs="Times New Roman" w:eastAsia="Times New Roman" w:hAnsi="Times New Roman"/>
                <w:sz w:val="18"/>
                <w:szCs w:val="18"/>
                <w:color w:val="auto"/>
              </w:rPr>
              <w:t>(cont.)</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Data Analysis</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SAAS</w:t>
            </w:r>
          </w:p>
        </w:tc>
        <w:tc>
          <w:tcPr>
            <w:tcW w:w="13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&amp; Hosting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Outright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3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Customization</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Others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64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Revenue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12,030,103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5,678,947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12,947,339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21,342,990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51,999,379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(9,268,483)</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(5,589,343)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(11,710,862)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(12,943,296)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(329,444)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(39,841,428)</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Profit/(Loss)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2,761,620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1,236,477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8,399,694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12,157,951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&amp; Administrative Expenses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(667,282)</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(667,282)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(667,281)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(667,281)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(2,669,126)</w:t>
            </w:r>
          </w:p>
        </w:tc>
        <w:tc>
          <w:tcPr>
            <w:tcW w:w="0" w:type="dxa"/>
            <w:vAlign w:val="bottom"/>
          </w:tcPr>
          <w:p>
            <w:pPr>
              <w:spacing w:after="0"/>
              <w:rPr>
                <w:sz w:val="1"/>
                <w:szCs w:val="1"/>
                <w:color w:val="auto"/>
              </w:rPr>
            </w:pPr>
          </w:p>
        </w:tc>
      </w:tr>
      <w:tr>
        <w:trPr>
          <w:trHeight w:val="27"/>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2,094,338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(577,678</w:t>
            </w:r>
          </w:p>
        </w:tc>
        <w:tc>
          <w:tcPr>
            <w:tcW w:w="240" w:type="dxa"/>
            <w:vAlign w:val="bottom"/>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569,196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7,732,413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(329,444</w:t>
            </w:r>
          </w:p>
        </w:tc>
        <w:tc>
          <w:tcPr>
            <w:tcW w:w="22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9,488,825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depreciation</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1,012,795</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168,799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337,598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1,687,992</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amortization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33,154</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55,256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16,412,701</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2,735,450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5,470,900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1,367,725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1,367,725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27,354,501</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Liabilities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5,982,180</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997,030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1,994,060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498,515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498,515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9,970,300</w:t>
            </w:r>
          </w:p>
        </w:tc>
        <w:tc>
          <w:tcPr>
            <w:tcW w:w="0" w:type="dxa"/>
            <w:vAlign w:val="bottom"/>
          </w:tcPr>
          <w:p>
            <w:pPr>
              <w:spacing w:after="0"/>
              <w:rPr>
                <w:sz w:val="1"/>
                <w:szCs w:val="1"/>
                <w:color w:val="auto"/>
              </w:rPr>
            </w:pPr>
          </w:p>
        </w:tc>
      </w:tr>
      <w:tr>
        <w:trPr>
          <w:trHeight w:val="453"/>
        </w:trPr>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Data Analysis</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SAAS</w:t>
            </w:r>
          </w:p>
        </w:tc>
        <w:tc>
          <w:tcPr>
            <w:tcW w:w="13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&amp; Hosting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Outright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3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Customization</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Others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64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Revenue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23,393,531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8,593,264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17,581,904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26,915,775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77,510,474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(20,139,923)</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(7,938,897)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(13,036,003)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(18,122,877)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(647,761)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(59,885,461)</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3,253,608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654,367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4,545,901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8,792,898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&amp; Administrative Expenses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(1,793,342)</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(1,793,342)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(1,793,342)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(1,793,342)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(1,793,341)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(8,966,709)</w:t>
            </w:r>
          </w:p>
        </w:tc>
        <w:tc>
          <w:tcPr>
            <w:tcW w:w="0" w:type="dxa"/>
            <w:vAlign w:val="bottom"/>
          </w:tcPr>
          <w:p>
            <w:pPr>
              <w:spacing w:after="0"/>
              <w:rPr>
                <w:sz w:val="1"/>
                <w:szCs w:val="1"/>
                <w:color w:val="auto"/>
              </w:rPr>
            </w:pPr>
          </w:p>
        </w:tc>
      </w:tr>
      <w:tr>
        <w:trPr>
          <w:trHeight w:val="27"/>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1,460,266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(1,138,975</w:t>
            </w:r>
          </w:p>
        </w:tc>
        <w:tc>
          <w:tcPr>
            <w:tcW w:w="240" w:type="dxa"/>
            <w:vAlign w:val="bottom"/>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2,752,559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6,999,556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(1,415,102</w:t>
            </w:r>
          </w:p>
        </w:tc>
        <w:tc>
          <w:tcPr>
            <w:tcW w:w="22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8,658,304</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depreciation</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2,145,509</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357,585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715,171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178,792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178,792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3,575,849</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amortization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128,788</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21,465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214,646</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69,997,957</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11,666,326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23,332,653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5,833,163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5,833,163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116,663,262</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Liabilities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8,790,758</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1,465,126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2,930,254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732,563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732,563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14,651,264</w:t>
            </w:r>
          </w:p>
        </w:tc>
        <w:tc>
          <w:tcPr>
            <w:tcW w:w="0" w:type="dxa"/>
            <w:vAlign w:val="bottom"/>
          </w:tcPr>
          <w:p>
            <w:pPr>
              <w:spacing w:after="0"/>
              <w:rPr>
                <w:sz w:val="1"/>
                <w:szCs w:val="1"/>
                <w:color w:val="auto"/>
              </w:rPr>
            </w:pPr>
          </w:p>
        </w:tc>
      </w:tr>
      <w:tr>
        <w:trPr>
          <w:trHeight w:val="655"/>
        </w:trPr>
        <w:tc>
          <w:tcPr>
            <w:tcW w:w="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F-37</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subsequent events from the reporting date up to the date these financial statements were authorised for issue.</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reporting date, the Company entered into a project funding agreement on 1 January 2026 with a third party to provide funding for a development project. The arrangement involves a funding commitment of approximately RM 2.7 million and includes agreed terms relating to project delivery and settlement.</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Company entered into a non-binding term sheet for a proposed acquisition and completed certain equity issuances pursuant to existing contractual arrangements.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15 January 2026, a legal claim was filed against the Group in relation to a purchase agreement entered into in 11 July 2025. As at 31 December 2025, no legal proceedings had been initiated and accordingly, no provision was recognized in the financial statements. Subsequently, on 20 March 2026, the Group entered into a settlement agreement with the counterparty for a total sum of approximately USD250,000. Management has assessed that the claim and subsequent settlement represent non-adjusting events after the reporting period. Accordingly, no adjustment has been made to the financial statements for the year ended 31 December 2025.</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events are considered non-adjusting subsequent events as they do not relate to conditions existing at the reporting date. Accordingly, no adjustments have been made to the financial statements.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31 December 2025, the Company has assessed a potential tax exposure arising from the recognition of revenue generated by Sagtec Global.</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potential exposure relates to the risk that Sagtec Global may be regarded as having a taxable presence in Malaysia, based on factors including:</w:t>
      </w:r>
    </w:p>
    <w:p>
      <w:pPr>
        <w:spacing w:after="0" w:line="27" w:lineRule="exact"/>
        <w:rPr>
          <w:rFonts w:ascii="Times New Roman" w:cs="Times New Roman" w:eastAsia="Times New Roman" w:hAnsi="Times New Roman"/>
          <w:sz w:val="18"/>
          <w:szCs w:val="18"/>
          <w:b w:val="1"/>
          <w:bCs w:val="1"/>
          <w:color w:val="auto"/>
        </w:rPr>
      </w:pPr>
    </w:p>
    <w:p>
      <w:pPr>
        <w:ind w:left="6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key commercial and strategic decision-making functions being conducted in Malaysia; (ii) a significant portion of revenue being derived from customers based in Malaysia; and (iii) employees involved in operations being primarily located in Malaysia.</w:t>
      </w:r>
    </w:p>
    <w:p>
      <w:pPr>
        <w:spacing w:after="0" w:line="1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Notwithstanding the above, management is of the view that Sagtec Global does not have a taxable presence in Malaysia based on its current structure and governance framework. Nevertheless, as tax treatment may be subject to interpretation by the relevant authorities, there remains a potential exposure that Sagtec Global could be assessed to tax in Malaysia, which may result in additional tax liabilities, together with potential penalties and interest.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As at the reporting date, no provision has been recognized as management considers the likelihood of a material outflow of economic resources to be low. Accordingly, the matter is disclosed as a contingent liability in accordance with IAS 37 </w:t>
      </w:r>
      <w:r>
        <w:rPr>
          <w:rFonts w:ascii="Times New Roman" w:cs="Times New Roman" w:eastAsia="Times New Roman" w:hAnsi="Times New Roman"/>
          <w:sz w:val="18"/>
          <w:szCs w:val="18"/>
          <w:i w:val="1"/>
          <w:iCs w:val="1"/>
          <w:color w:val="auto"/>
        </w:rPr>
        <w:t>Provisions, Contingent Liabilities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175260</wp:posOffset>
            </wp:positionV>
            <wp:extent cx="1697355" cy="3600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16973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BVI COMPANY NUMBER: 2135152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Territory of the British Virgin Islands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BVI Business Companies Act (Revised Edition)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2474595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company limited by shares incorporated on 31 October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amended and restated by a resolution of shareholders passed on 18 February 2025 and filed on 20 February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further amended and restated by a resolution of shareholders passed on 30 September 2025 and filed on 10 October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Mourant Ozannes, BVI is a British Virgin Islands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mourant.com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Territory of the British Virgin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BVI Business Companies Act (Revised Edition)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company limited by shares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amended and restated by a resolution of shareholders passed on 18 February 2025 and filed on 20 February 2025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further amended and restated by a resolution of shareholders passed on 30 September 2025 and filed on 10 October 2025</w:t>
      </w:r>
    </w:p>
    <w:p>
      <w:pPr>
        <w:spacing w:after="0" w:line="203"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name is SAGTEC GLOBAL LIMITED.</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TYPE OF COMPANY</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REGISTERED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First registered office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first registered office is located at Vistra Corporate Services Centre, Wickhams Cay II, Road Town, Tortola, VG1110, British Virgin Islands.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Change of registered office</w:t>
      </w:r>
    </w:p>
    <w:p>
      <w:pPr>
        <w:spacing w:after="0" w:line="229" w:lineRule="exact"/>
        <w:rPr>
          <w:sz w:val="20"/>
          <w:szCs w:val="20"/>
          <w:color w:val="auto"/>
        </w:rPr>
      </w:pPr>
    </w:p>
    <w:p>
      <w:pPr>
        <w:ind w:left="1300" w:hanging="644"/>
        <w:spacing w:after="0" w:line="282"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change the location of its registered office to another location in the British Virgin Islands by a resolution of shareholders or a resolution of directors.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the Company’s registered office will only take effect once the registrar has registered a notice of change filed by the Company’s registered agent or a legal practitioner in the British Virgin Islands acting on behalf of the Company.</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REGISTERED AGENT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First registered agent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first registered agent is Vistra (BVI) Limited of Vistra Corporate Services Centre, Wickhams Cay II, Road Town, Tortola, VG1110, British Virgin Islands.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Change of registered agent</w:t>
      </w:r>
    </w:p>
    <w:p>
      <w:pPr>
        <w:spacing w:after="0" w:line="229" w:lineRule="exact"/>
        <w:rPr>
          <w:sz w:val="20"/>
          <w:szCs w:val="20"/>
          <w:color w:val="auto"/>
        </w:rPr>
      </w:pPr>
    </w:p>
    <w:p>
      <w:pPr>
        <w:ind w:left="5580" w:right="2340" w:hanging="4924"/>
        <w:spacing w:after="0" w:line="814" w:lineRule="auto"/>
        <w:tabs>
          <w:tab w:leader="none" w:pos="130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change its registered agent by a resolution of shareholders or a resolution of directors.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ind w:left="1300" w:hanging="644"/>
        <w:spacing w:after="0" w:line="282" w:lineRule="auto"/>
        <w:tabs>
          <w:tab w:leader="none" w:pos="13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the Company’s registered agent will only take effect once the registrar has registered a notice of change filed by the Company’s existing registered agent or a legal practitioner in the British Virgin Islands acting on behalf of the Company.</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Number and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authorised to issue an unlimited number of no par value shares, and such shares can be issued as:</w:t>
      </w:r>
    </w:p>
    <w:p>
      <w:pPr>
        <w:spacing w:after="0" w:line="225" w:lineRule="exact"/>
        <w:rPr>
          <w:sz w:val="20"/>
          <w:szCs w:val="20"/>
          <w:color w:val="auto"/>
        </w:rPr>
      </w:pPr>
    </w:p>
    <w:p>
      <w:pPr>
        <w:ind w:left="980" w:hanging="324"/>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any combination of the above types of shares.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Fractions of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articles, the Company may issue a fraction of a share.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Bonus, redeemable and convertible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articles, the Company may issue bonus shares, redeemable shares and shares that are convertible to another class of share.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Redemptions, purchases etc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articles, the Company may redeem, purchase or otherwise acquire, any of its shares.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Registered shares</w:t>
      </w:r>
    </w:p>
    <w:p>
      <w:pPr>
        <w:spacing w:after="0" w:line="229" w:lineRule="exact"/>
        <w:rPr>
          <w:sz w:val="20"/>
          <w:szCs w:val="20"/>
          <w:color w:val="auto"/>
        </w:rPr>
      </w:pPr>
    </w:p>
    <w:p>
      <w:pPr>
        <w:ind w:left="1300" w:hanging="644"/>
        <w:spacing w:after="0"/>
        <w:tabs>
          <w:tab w:leader="none" w:pos="13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only issue registered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issue bearer shares, convert registered shares to bearer shares or exchange registered shares for bearer shares.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ATTACHING TO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A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articles, each A Share confers on the holder the right to:</w:t>
      </w:r>
    </w:p>
    <w:p>
      <w:pPr>
        <w:spacing w:after="0" w:line="225"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vote at a meeting of the shareholders or on any resolution of shareholders;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any distribution paid by the Company in accordance with the Act and the articles;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the distribution of any surplus assets of the Company on its liquidation.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1" w:name="page142"/>
    <w:bookmarkEnd w:id="141"/>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B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articles and clause 6.3 of this memorandum, each B Share confers on the holder the right to:</w:t>
      </w:r>
    </w:p>
    <w:p>
      <w:pPr>
        <w:spacing w:after="0" w:line="225"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votes at a meeting of the shareholders or on any resolution of shareholders;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any distribution paid by the Company in accordance with the Act and the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the distribution of any surplus assets of the Company on its liquidation;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that B Share into an A Share in accordance with clause 6.4 (Voluntary conversion of B Shares) of this memorandum.</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7"/>
          <w:szCs w:val="17"/>
          <w:b w:val="1"/>
          <w:bCs w:val="1"/>
          <w:color w:val="auto"/>
        </w:rPr>
        <w:t>Automatic conversion of B Shares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any B Share is the subject of a transfer, assignment, transmission or other disposal of a legal, beneficial or other interest in that share to any person who is not immediately prior to such transfer a holder of B Shares or a Permitted Transferee (a </w:t>
      </w:r>
      <w:r>
        <w:rPr>
          <w:rFonts w:ascii="Times New Roman" w:cs="Times New Roman" w:eastAsia="Times New Roman" w:hAnsi="Times New Roman"/>
          <w:sz w:val="18"/>
          <w:szCs w:val="18"/>
          <w:b w:val="1"/>
          <w:bCs w:val="1"/>
          <w:color w:val="auto"/>
        </w:rPr>
        <w:t>Transfer Share</w:t>
      </w:r>
      <w:r>
        <w:rPr>
          <w:rFonts w:ascii="Times New Roman" w:cs="Times New Roman" w:eastAsia="Times New Roman" w:hAnsi="Times New Roman"/>
          <w:sz w:val="18"/>
          <w:szCs w:val="18"/>
          <w:color w:val="auto"/>
        </w:rPr>
        <w:t>), such Transfer Share shall be automatically converted to an A Share immediately prior to such transfer taking place without the consent of the holder of B Shares and for the avoidance of doubt:</w:t>
      </w:r>
    </w:p>
    <w:p>
      <w:pPr>
        <w:spacing w:after="0" w:line="179" w:lineRule="exact"/>
        <w:rPr>
          <w:rFonts w:ascii="Times New Roman" w:cs="Times New Roman" w:eastAsia="Times New Roman" w:hAnsi="Times New Roman"/>
          <w:sz w:val="18"/>
          <w:szCs w:val="18"/>
          <w:color w:val="auto"/>
        </w:rPr>
      </w:pPr>
    </w:p>
    <w:p>
      <w:pPr>
        <w:ind w:left="1940" w:hanging="636"/>
        <w:spacing w:after="0" w:line="282" w:lineRule="auto"/>
        <w:tabs>
          <w:tab w:leader="none" w:pos="19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assignment or disposition shall be effective upon the Company’s registration of such sale, transfer, assignment or disposition in its register of shareholders; and</w:t>
      </w:r>
    </w:p>
    <w:p>
      <w:pPr>
        <w:spacing w:after="0" w:line="161" w:lineRule="exact"/>
        <w:rPr>
          <w:rFonts w:ascii="Times New Roman" w:cs="Times New Roman" w:eastAsia="Times New Roman" w:hAnsi="Times New Roman"/>
          <w:sz w:val="18"/>
          <w:szCs w:val="18"/>
          <w:color w:val="auto"/>
        </w:rPr>
      </w:pPr>
    </w:p>
    <w:p>
      <w:pPr>
        <w:jc w:val="both"/>
        <w:ind w:left="1940" w:hanging="636"/>
        <w:spacing w:after="0" w:line="261" w:lineRule="auto"/>
        <w:tabs>
          <w:tab w:leader="none" w:pos="19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any pledge, charge, encumbrance or other third party right of whatever description on any B Share to secure a holder’s contractual or legal obligations shall not be deemed as a sale, transfer, assignment or disposition unless and until any such pledge, charge, encumbrance or other third party right is enforced and results in the third party holding legal title to the relevant B Share, in which case all the related B Shares shall be automatically converted into of A Shares on a one-for-one basis.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B Share has been transferred to any person who ceases to be a Permitted Transferee of the original holder of that B Share, that B Share shall be automatically converted to an A Share with effect from the time and date that person ceases to be a Permitted Transferee, without the consent of the shareholder and on a one-for-one basis.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b w:val="1"/>
          <w:bCs w:val="1"/>
          <w:color w:val="auto"/>
        </w:rPr>
        <w:t>Voluntary conversion of B Shares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holder of B Shares shall have the right, upon 10 Business Days’ prior written notice to the Company and without the consent of the Company, to automatically convert any or all of their B Shares into A Shares on a one-for-one basis.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Share conversion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Following any share conversion under clauses 6.3 – 6.4 of this memorandum, the directors shall update (or instruct the Company’s transfer agent and / or registered agent (as the case may be) to update) the shareholder lists and / or register of shareholders (as the case may be) to reflect any such conversion.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b w:val="1"/>
          <w:bCs w:val="1"/>
          <w:color w:val="auto"/>
        </w:rPr>
        <w:t>Articles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Any provision of the articles which modifies, supplements, restricts or negates any of the rights conferred on the holder of a share by this memorandum, is taken to be included in this memorandum as if set out in full.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VARIATION OF CLASS RIGHTS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Variation</w:t>
      </w:r>
    </w:p>
    <w:p>
      <w:pPr>
        <w:spacing w:after="0" w:line="229"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If the Company has different classes of shares in issue, unless the rights attaching to a class of shares state otherwise, the rights attached to that class may only be varied, whether the Company is a going concern or is being liquidated:</w:t>
      </w:r>
    </w:p>
    <w:p>
      <w:pPr>
        <w:spacing w:after="0" w:line="162"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holders of the majority of the issued shares of that class;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resolution of shareholders of that class;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clause 6.3 (Automatic conversion of B Shares);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clause 6.4 (Voluntary conversion of B Shares).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Rights not varied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rights conferred on the holders of any class of shares issued with preferred or other rights will not (unless the rights attaching to the shares of that class expressly state otherwise) be treated as being varied by the creation or issue of further shares ranking after or equally with the shares of that class.</w:t>
      </w:r>
    </w:p>
    <w:p>
      <w:pPr>
        <w:spacing w:after="0" w:line="172"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CAPACITY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Capacity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Act and any other applicable enactment of the British Virgin Islands, the Company has (irrespective of corporate benefit):</w:t>
      </w:r>
    </w:p>
    <w:p>
      <w:pPr>
        <w:spacing w:after="0" w:line="225"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capacity to carry on, or undertake, any business or activity, do any act or enter into any transaction;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(a) above, full rights, powers and privileges.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No limitations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purposes of the Act, there are no limitations on the businesses or activities that may be carried on, or undertaken, the acts that may be done, or the transactions that may be entered into, by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Listing on a Designated Stock Exchange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has a class of shares listed on a Designated Stock Exchange, the following provisions apply:</w:t>
      </w:r>
    </w:p>
    <w:p>
      <w:pPr>
        <w:spacing w:after="0" w:line="225"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prohibited by the applicable Listing Rules shall not be taken;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memorandum or the articles prevents any action being taken which is required by the applicable Listing Rules;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is given for any act to be done or not done (as the case may be) where required by the applicable Listing Rules;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amend this memorandum and the articles to: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provision required to comply with a requirement of the applicable Listing Rules where such provision is not already included; and</w:t>
      </w:r>
    </w:p>
    <w:p>
      <w:pPr>
        <w:spacing w:after="0" w:line="161" w:lineRule="exact"/>
        <w:rPr>
          <w:rFonts w:ascii="Times New Roman" w:cs="Times New Roman" w:eastAsia="Times New Roman" w:hAnsi="Times New Roman"/>
          <w:sz w:val="18"/>
          <w:szCs w:val="18"/>
          <w:color w:val="auto"/>
        </w:rPr>
      </w:pPr>
    </w:p>
    <w:p>
      <w:pPr>
        <w:ind w:left="660" w:right="220" w:firstLine="644"/>
        <w:spacing w:after="0" w:line="532" w:lineRule="auto"/>
        <w:tabs>
          <w:tab w:leader="none" w:pos="195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rectify any provision of this memorandum and the articles which is or becomes inconsistent with the applicable Listing Rules, provided that no act required to be done by the applicable Listing Rules is contrary to or otherwise prohibited by the Act.</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ind w:left="660" w:hanging="652"/>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 OF SHAREHOLDERS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No liability for Company’s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shareholder has any liability, as a shareholder, for the liabilities of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Liability to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liability of each shareholder to the Company, as a shareholder, is limited to the amount (if any) unpaid on the shareholder’s shares.</w:t>
      </w:r>
    </w:p>
    <w:p>
      <w:pPr>
        <w:spacing w:after="0" w:line="221"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TO MEMORANDUM AND ARTICLES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may amend this memorandum or the articles by a resolution of shareholders.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amend this memorandum or the articles by a resolution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do not have the power to amend: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memorandum or the articles: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restrict the rights or powers of the shareholders to amend this memorandum or the articles;</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percentage of shareholders required to pass a resolution of shareholders to amend this memorandum or the articles; or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this memorandum or the articles cannot be amended by the shareholders;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6 (Rights attaching to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7 (Variation of class rights);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10 (Amendments to memorandum and articles), of this memorandum.</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b w:val="1"/>
          <w:bCs w:val="1"/>
          <w:color w:val="auto"/>
        </w:rPr>
        <w:t>Effectiveness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Act, any amendment to this memorandum or the articles will only take effect once the registrar has registered:</w:t>
      </w:r>
    </w:p>
    <w:p>
      <w:pPr>
        <w:spacing w:after="0" w:line="225"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amendment;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and restated memorandum of association or amended and restated articles of association,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filed by the Company’s registered agent.</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and principles of interpretation in the Company’s articles of association apply in this memorandum unless the context requires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Vistra (BVI) Limited of Vistra Corporate Services Centre, Wickhams Cay II, Road Town, Tortola, VG1110, British Virgin Islands for the purpose of incorporating a BVI Business Company under the laws of the British Virgin Islands hereby sign this Memorandum of Association the 31st day of October,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4883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28543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 Rexella D. Hodge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Vistra (BVI) Limited</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Territory of the British Virgin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BVI Business Companies Act (Revised Edition)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company limited by shares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amended and restated by a resolution of shareholders passed on 18 February 2025 and filed on 20 February 2025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further amended and restated by a resolution of shareholders passed on 30 September 2025 and filed on 10 October 2025</w:t>
      </w:r>
    </w:p>
    <w:p>
      <w:pPr>
        <w:spacing w:after="0" w:line="203"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apply in these articles of association unless the context requires otherwise: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means the BVI Business Companies Act (Revised Edition) 2020;</w:t>
      </w:r>
    </w:p>
    <w:p>
      <w:pPr>
        <w:spacing w:after="0" w:line="22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AGM </w:t>
      </w:r>
      <w:r>
        <w:rPr>
          <w:rFonts w:ascii="Times New Roman" w:cs="Times New Roman" w:eastAsia="Times New Roman" w:hAnsi="Times New Roman"/>
          <w:sz w:val="18"/>
          <w:szCs w:val="18"/>
          <w:color w:val="auto"/>
        </w:rPr>
        <w:t>means any annual general meeting of the shareholders called by the directors under (and in accordance with the requirements of) article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meetings and written resolutions);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these articles of association as amended or amended and restated from time to time;</w:t>
      </w:r>
    </w:p>
    <w:p>
      <w:pPr>
        <w:spacing w:after="0" w:line="225" w:lineRule="exact"/>
        <w:rPr>
          <w:sz w:val="20"/>
          <w:szCs w:val="20"/>
          <w:color w:val="auto"/>
        </w:rPr>
      </w:pPr>
    </w:p>
    <w:p>
      <w:pPr>
        <w:ind w:left="660" w:right="180" w:firstLine="2"/>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A Shares </w:t>
      </w:r>
      <w:r>
        <w:rPr>
          <w:rFonts w:ascii="Times New Roman" w:cs="Times New Roman" w:eastAsia="Times New Roman" w:hAnsi="Times New Roman"/>
          <w:sz w:val="18"/>
          <w:szCs w:val="18"/>
          <w:color w:val="auto"/>
        </w:rPr>
        <w:t>means the A ordinary shares of no par value in the Company, having the rights set out in the memorandum and these articles;</w:t>
      </w:r>
      <w:r>
        <w:rPr>
          <w:rFonts w:ascii="Times New Roman" w:cs="Times New Roman" w:eastAsia="Times New Roman" w:hAnsi="Times New Roman"/>
          <w:sz w:val="18"/>
          <w:szCs w:val="18"/>
          <w:b w:val="1"/>
          <w:bCs w:val="1"/>
          <w:color w:val="auto"/>
        </w:rPr>
        <w:t xml:space="preserve"> B Shares </w:t>
      </w:r>
      <w:r>
        <w:rPr>
          <w:rFonts w:ascii="Times New Roman" w:cs="Times New Roman" w:eastAsia="Times New Roman" w:hAnsi="Times New Roman"/>
          <w:sz w:val="18"/>
          <w:szCs w:val="18"/>
          <w:color w:val="auto"/>
        </w:rPr>
        <w:t>means the B ordinary shares of no par value in the Company, having the rights set out in the memorandum and these articles;</w:t>
      </w:r>
      <w:r>
        <w:rPr>
          <w:rFonts w:ascii="Times New Roman" w:cs="Times New Roman" w:eastAsia="Times New Roman" w:hAnsi="Times New Roman"/>
          <w:sz w:val="18"/>
          <w:szCs w:val="18"/>
          <w:b w:val="1"/>
          <w:bCs w:val="1"/>
          <w:color w:val="auto"/>
        </w:rPr>
        <w:t xml:space="preserve"> Business Day </w:t>
      </w:r>
      <w:r>
        <w:rPr>
          <w:rFonts w:ascii="Times New Roman" w:cs="Times New Roman" w:eastAsia="Times New Roman" w:hAnsi="Times New Roman"/>
          <w:sz w:val="18"/>
          <w:szCs w:val="18"/>
          <w:color w:val="auto"/>
        </w:rPr>
        <w:t>means a day other than a Saturday, Sunday or public holiday in New York City, New York, Malaysia or the British Virgin Islands;</w:t>
      </w:r>
      <w:r>
        <w:rPr>
          <w:rFonts w:ascii="Times New Roman" w:cs="Times New Roman" w:eastAsia="Times New Roman" w:hAnsi="Times New Roman"/>
          <w:sz w:val="18"/>
          <w:szCs w:val="18"/>
          <w:b w:val="1"/>
          <w:bCs w:val="1"/>
          <w:color w:val="auto"/>
        </w:rPr>
        <w:t xml:space="preserve"> charge </w:t>
      </w:r>
      <w:r>
        <w:rPr>
          <w:rFonts w:ascii="Times New Roman" w:cs="Times New Roman" w:eastAsia="Times New Roman" w:hAnsi="Times New Roman"/>
          <w:sz w:val="18"/>
          <w:szCs w:val="18"/>
          <w:color w:val="auto"/>
        </w:rPr>
        <w:t>means any charge, mortgage or other security interest;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chargee </w:t>
      </w:r>
      <w:r>
        <w:rPr>
          <w:rFonts w:ascii="Times New Roman" w:cs="Times New Roman" w:eastAsia="Times New Roman" w:hAnsi="Times New Roman"/>
          <w:sz w:val="18"/>
          <w:szCs w:val="18"/>
          <w:color w:val="auto"/>
        </w:rPr>
        <w:t>means the person to whom a charge has been granted or any nominee of that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a committee of directors to which any powers of the directors have been delegated under these articles;</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means the possession, directly or indirectly, of the power to direct the management and policies of a company or other entity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ownership of voting securities, by contract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Sagtec Global Limited;</w:t>
      </w:r>
    </w:p>
    <w:p>
      <w:pPr>
        <w:spacing w:after="0" w:line="225" w:lineRule="exact"/>
        <w:rPr>
          <w:sz w:val="20"/>
          <w:szCs w:val="20"/>
          <w:color w:val="auto"/>
        </w:rPr>
      </w:pPr>
    </w:p>
    <w:p>
      <w:pPr>
        <w:ind w:left="660" w:right="1120"/>
        <w:spacing w:after="0" w:line="582" w:lineRule="auto"/>
        <w:rPr>
          <w:sz w:val="20"/>
          <w:szCs w:val="20"/>
          <w:color w:val="auto"/>
        </w:rPr>
      </w:pPr>
      <w:r>
        <w:rPr>
          <w:rFonts w:ascii="Times New Roman" w:cs="Times New Roman" w:eastAsia="Times New Roman" w:hAnsi="Times New Roman"/>
          <w:sz w:val="17"/>
          <w:szCs w:val="17"/>
          <w:b w:val="1"/>
          <w:bCs w:val="1"/>
          <w:color w:val="auto"/>
        </w:rPr>
        <w:t xml:space="preserve">Designated Stock Exchange </w:t>
      </w:r>
      <w:r>
        <w:rPr>
          <w:rFonts w:ascii="Times New Roman" w:cs="Times New Roman" w:eastAsia="Times New Roman" w:hAnsi="Times New Roman"/>
          <w:sz w:val="17"/>
          <w:szCs w:val="17"/>
          <w:color w:val="auto"/>
        </w:rPr>
        <w:t>means any stock exchange in the United States of America on which any shares are listed for trading;</w:t>
      </w:r>
      <w:r>
        <w:rPr>
          <w:rFonts w:ascii="Times New Roman" w:cs="Times New Roman" w:eastAsia="Times New Roman" w:hAnsi="Times New Roman"/>
          <w:sz w:val="17"/>
          <w:szCs w:val="17"/>
          <w:b w:val="1"/>
          <w:bCs w:val="1"/>
          <w:color w:val="auto"/>
        </w:rPr>
        <w:t xml:space="preserve"> director </w:t>
      </w:r>
      <w:r>
        <w:rPr>
          <w:rFonts w:ascii="Times New Roman" w:cs="Times New Roman" w:eastAsia="Times New Roman" w:hAnsi="Times New Roman"/>
          <w:sz w:val="17"/>
          <w:szCs w:val="17"/>
          <w:color w:val="auto"/>
        </w:rPr>
        <w:t>means, at any time, a person who is a director of the Company and (where appropriate) includes an alternate director;</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Transactions Act </w:t>
      </w:r>
      <w:r>
        <w:rPr>
          <w:rFonts w:ascii="Times New Roman" w:cs="Times New Roman" w:eastAsia="Times New Roman" w:hAnsi="Times New Roman"/>
          <w:sz w:val="18"/>
          <w:szCs w:val="18"/>
          <w:color w:val="auto"/>
        </w:rPr>
        <w:t>means the Electronic Transactions Act, 2021, including any modification, amendment, extension, re-enactment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renewal thereof and any regulations made thereunder;</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entitled person </w:t>
      </w:r>
      <w:r>
        <w:rPr>
          <w:rFonts w:ascii="Times New Roman" w:cs="Times New Roman" w:eastAsia="Times New Roman" w:hAnsi="Times New Roman"/>
          <w:sz w:val="18"/>
          <w:szCs w:val="18"/>
          <w:color w:val="auto"/>
        </w:rPr>
        <w:t>means a person who is entitled to a share by reason of the death, bankruptcy or insolvency of a shareholder or otherwise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law;</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means, for any financial period of the Company:</w:t>
      </w:r>
    </w:p>
    <w:p>
      <w:pPr>
        <w:spacing w:after="0" w:line="229" w:lineRule="exact"/>
        <w:rPr>
          <w:sz w:val="20"/>
          <w:szCs w:val="20"/>
          <w:color w:val="auto"/>
        </w:rPr>
      </w:pPr>
    </w:p>
    <w:p>
      <w:pPr>
        <w:ind w:left="644" w:hanging="644"/>
        <w:spacing w:after="0"/>
        <w:tabs>
          <w:tab w:leader="none" w:pos="6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 sheet;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profit and loss account or statement;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financial statement the directors decide by a resolution of directors, or are required by a resolution of shareholders, to prepare;</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Listing Rules </w:t>
      </w:r>
      <w:r>
        <w:rPr>
          <w:rFonts w:ascii="Times New Roman" w:cs="Times New Roman" w:eastAsia="Times New Roman" w:hAnsi="Times New Roman"/>
          <w:sz w:val="18"/>
          <w:szCs w:val="18"/>
          <w:color w:val="auto"/>
        </w:rPr>
        <w:t>means the applicable SEC marketplace rules which apply to the Company for so long as the Company has a class of shares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Designed Stock Exchange, such rules as amended or replaced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Company’s memorandum of association as amended or amended and restated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Permitted Transferee </w:t>
      </w:r>
      <w:r>
        <w:rPr>
          <w:rFonts w:ascii="Times New Roman" w:cs="Times New Roman" w:eastAsia="Times New Roman" w:hAnsi="Times New Roman"/>
          <w:sz w:val="18"/>
          <w:szCs w:val="18"/>
          <w:color w:val="auto"/>
        </w:rPr>
        <w:t>means, in relation to a holder of B Shares:</w:t>
      </w:r>
    </w:p>
    <w:p>
      <w:pPr>
        <w:spacing w:after="0" w:line="229" w:lineRule="exact"/>
        <w:rPr>
          <w:sz w:val="20"/>
          <w:szCs w:val="20"/>
          <w:color w:val="auto"/>
        </w:rPr>
      </w:pPr>
    </w:p>
    <w:p>
      <w:pPr>
        <w:ind w:left="644" w:hanging="644"/>
        <w:spacing w:after="0"/>
        <w:tabs>
          <w:tab w:leader="none" w:pos="6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Privileged Relation of that holder;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or other entity over which that holder has Control;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set up wholly for the benefit of:</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shareholder; and /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Privileged Relations of that shareholder;</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Privileged Relation </w:t>
      </w:r>
      <w:r>
        <w:rPr>
          <w:rFonts w:ascii="Times New Roman" w:cs="Times New Roman" w:eastAsia="Times New Roman" w:hAnsi="Times New Roman"/>
          <w:sz w:val="18"/>
          <w:szCs w:val="18"/>
          <w:color w:val="auto"/>
        </w:rPr>
        <w:t>means, in relation to a holder of B Shares, his, her or its spouse, children and grandchildren (including step and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children and grandchildren) and their legal successors;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register of shareholders </w:t>
      </w:r>
      <w:r>
        <w:rPr>
          <w:rFonts w:ascii="Times New Roman" w:cs="Times New Roman" w:eastAsia="Times New Roman" w:hAnsi="Times New Roman"/>
          <w:sz w:val="18"/>
          <w:szCs w:val="18"/>
          <w:color w:val="auto"/>
        </w:rPr>
        <w:t>means the register of members maintained by or on behalf of the Company under the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registrar </w:t>
      </w:r>
      <w:r>
        <w:rPr>
          <w:rFonts w:ascii="Times New Roman" w:cs="Times New Roman" w:eastAsia="Times New Roman" w:hAnsi="Times New Roman"/>
          <w:sz w:val="18"/>
          <w:szCs w:val="18"/>
          <w:color w:val="auto"/>
        </w:rPr>
        <w:t>means the Registrar of Corporate Affairs appointed under the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resolution of directors </w:t>
      </w:r>
      <w:r>
        <w:rPr>
          <w:rFonts w:ascii="Times New Roman" w:cs="Times New Roman" w:eastAsia="Times New Roman" w:hAnsi="Times New Roman"/>
          <w:sz w:val="18"/>
          <w:szCs w:val="18"/>
          <w:color w:val="auto"/>
        </w:rPr>
        <w:t>means a resolution:</w:t>
      </w:r>
    </w:p>
    <w:p>
      <w:pPr>
        <w:spacing w:after="0" w:line="229" w:lineRule="exact"/>
        <w:rPr>
          <w:sz w:val="20"/>
          <w:szCs w:val="20"/>
          <w:color w:val="auto"/>
        </w:rPr>
      </w:pPr>
    </w:p>
    <w:p>
      <w:pPr>
        <w:ind w:left="644" w:hanging="644"/>
        <w:spacing w:after="0" w:line="282" w:lineRule="auto"/>
        <w:tabs>
          <w:tab w:leader="none" w:pos="6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a simple majority of the votes cast in respect of the resolution, at a valid meeting of directors or a committee, by directors or members of the committee (or their alternates) present at the meeting;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that is signed or consented to (including by way of fax or email) by a majority of directors or members of a committee (or their alternates),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who are entitled to vote on the resolution;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resolution of shareholders </w:t>
      </w:r>
      <w:r>
        <w:rPr>
          <w:rFonts w:ascii="Times New Roman" w:cs="Times New Roman" w:eastAsia="Times New Roman" w:hAnsi="Times New Roman"/>
          <w:sz w:val="18"/>
          <w:szCs w:val="18"/>
          <w:color w:val="auto"/>
        </w:rPr>
        <w:t>means a resolution:</w:t>
      </w:r>
    </w:p>
    <w:p>
      <w:pPr>
        <w:spacing w:after="0" w:line="229" w:lineRule="exact"/>
        <w:rPr>
          <w:sz w:val="20"/>
          <w:szCs w:val="20"/>
          <w:color w:val="auto"/>
        </w:rPr>
      </w:pPr>
    </w:p>
    <w:p>
      <w:pPr>
        <w:ind w:left="644" w:hanging="644"/>
        <w:spacing w:after="0" w:line="282" w:lineRule="auto"/>
        <w:tabs>
          <w:tab w:leader="none" w:pos="6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a simple majority of the votes cast in respect of the resolution, at a valid meeting of shareholders (or class of shareholders), by shareholders present (in person or by proxy) at the meeting;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that is signed or consented to (including by way of fax or email) by shareholders (or shareholders of the relevant class) who hold shares carrying a simple majority of the votes that may be cast in respect of the resolution,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who are entitled to vote on the resolution;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U.S. Securities and Exchange Commission;</w:t>
      </w:r>
    </w:p>
    <w:p>
      <w:pPr>
        <w:spacing w:after="0" w:line="200" w:lineRule="exact"/>
        <w:rPr>
          <w:sz w:val="20"/>
          <w:szCs w:val="20"/>
          <w:color w:val="auto"/>
        </w:rPr>
      </w:pPr>
    </w:p>
    <w:p>
      <w:pPr>
        <w:spacing w:after="0" w:line="24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share issued, or to be issued, by the Company and includes a fraction of a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shareholder </w:t>
      </w:r>
      <w:r>
        <w:rPr>
          <w:rFonts w:ascii="Times New Roman" w:cs="Times New Roman" w:eastAsia="Times New Roman" w:hAnsi="Times New Roman"/>
          <w:sz w:val="18"/>
          <w:szCs w:val="18"/>
          <w:color w:val="auto"/>
        </w:rPr>
        <w:t>means a person who is recorded in the register of shareholders as the holder of a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solvency test </w:t>
      </w:r>
      <w:r>
        <w:rPr>
          <w:rFonts w:ascii="Times New Roman" w:cs="Times New Roman" w:eastAsia="Times New Roman" w:hAnsi="Times New Roman"/>
          <w:sz w:val="18"/>
          <w:szCs w:val="18"/>
          <w:color w:val="auto"/>
        </w:rPr>
        <w:t>means that:</w:t>
      </w:r>
    </w:p>
    <w:p>
      <w:pPr>
        <w:spacing w:after="0" w:line="229"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Company’s assets exceed its liabilities;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able to pay its debts as they fall due;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transfer form </w:t>
      </w:r>
      <w:r>
        <w:rPr>
          <w:rFonts w:ascii="Times New Roman" w:cs="Times New Roman" w:eastAsia="Times New Roman" w:hAnsi="Times New Roman"/>
          <w:sz w:val="18"/>
          <w:szCs w:val="18"/>
          <w:color w:val="auto"/>
        </w:rPr>
        <w:t>means a written notice under which title to a share is transferred;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Transfer Share </w:t>
      </w:r>
      <w:r>
        <w:rPr>
          <w:rFonts w:ascii="Times New Roman" w:cs="Times New Roman" w:eastAsia="Times New Roman" w:hAnsi="Times New Roman"/>
          <w:sz w:val="18"/>
          <w:szCs w:val="18"/>
          <w:color w:val="auto"/>
        </w:rPr>
        <w:t>has the meaning provided for it in clause 6.3 (Automatic Conversion of B Shares) of the memorandum.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Act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Definitions in the Act apply in these articles unless the relevant term is defined in these articles or the context requires otherwise.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rules apply in these articles unless the context requires otherwise:</w:t>
      </w:r>
    </w:p>
    <w:p>
      <w:pPr>
        <w:spacing w:after="0" w:line="225"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only and do not affect interpretation;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the converse;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gender includes all genders;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person, corporation, trust, partnership, unincorporated body or other entity includes any of them;</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legislation (or to a provision of it) includes a modification or re-enactment of it, a legislative provision substituted for it and any regulation, order or other statutory instrument issued under 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phrase is defined, its other grammatical forms have a corresponding meaning;</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mentioning anything after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does not limit what else might be included;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is to a clause of the memorandum, and a reference to an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is to an article of these articles;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thing being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xml:space="preserve"> includes all forms of writing, including all electronic records which satisfy the requirements of the Electronic Transactions Act, including (but not limited to) information generated, sent, received or stored by electronic, electrical, digital, magnetic, optical, electromagnetic, biometric or photonic means, including electronic data interchange, electronic mail, telegram, telex or telecopy;</w:t>
      </w:r>
    </w:p>
    <w:p>
      <w:pPr>
        <w:spacing w:after="0" w:line="176"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thing being </w:t>
      </w:r>
      <w:r>
        <w:rPr>
          <w:rFonts w:ascii="Times New Roman" w:cs="Times New Roman" w:eastAsia="Times New Roman" w:hAnsi="Times New Roman"/>
          <w:sz w:val="18"/>
          <w:szCs w:val="18"/>
          <w:b w:val="1"/>
          <w:bCs w:val="1"/>
          <w:color w:val="auto"/>
        </w:rPr>
        <w:t>signed</w:t>
      </w:r>
      <w:r>
        <w:rPr>
          <w:rFonts w:ascii="Times New Roman" w:cs="Times New Roman" w:eastAsia="Times New Roman" w:hAnsi="Times New Roman"/>
          <w:sz w:val="18"/>
          <w:szCs w:val="18"/>
          <w:color w:val="auto"/>
        </w:rPr>
        <w:t xml:space="preserve"> or to a person’s </w:t>
      </w: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xml:space="preserve"> shall include reference to an electronic signature which satisfies the requirements of the Electronic Transactions Act;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the directors have delegated any of their powers to a committee or person, a reference to a </w:t>
      </w:r>
      <w:r>
        <w:rPr>
          <w:rFonts w:ascii="Times New Roman" w:cs="Times New Roman" w:eastAsia="Times New Roman" w:hAnsi="Times New Roman"/>
          <w:sz w:val="18"/>
          <w:szCs w:val="18"/>
          <w:b w:val="1"/>
          <w:bCs w:val="1"/>
          <w:color w:val="auto"/>
        </w:rPr>
        <w:t>resolution of directors</w:t>
      </w:r>
      <w:r>
        <w:rPr>
          <w:rFonts w:ascii="Times New Roman" w:cs="Times New Roman" w:eastAsia="Times New Roman" w:hAnsi="Times New Roman"/>
          <w:sz w:val="18"/>
          <w:szCs w:val="18"/>
          <w:color w:val="auto"/>
        </w:rPr>
        <w:t xml:space="preserve"> in relation to the exercise of that power is to be construed accordingly.</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Class meetings and written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has different classes of shares in issue, the provisions of these articles relating to:</w:t>
      </w:r>
    </w:p>
    <w:p>
      <w:pPr>
        <w:spacing w:after="0" w:line="225"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shareholders, proceedings at them and eligibility to attend and vote at them;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resolutions of shareholders,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apply (having made all necessary changes) to each meeting or written resolution of the holders of a class of shares.</w:t>
      </w:r>
    </w:p>
    <w:p>
      <w:pPr>
        <w:spacing w:after="0" w:line="221"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PRELIMINARY EXPENSES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pay all expenses incurred preliminary to, and in connection with, the incorporation of the Company.</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Rights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Subject to the Act and any necessary amendments to the memorandum and these articles being made, any share may be issued with any preferred, deferred or other special rights, or with any restrictions, whether in relation to voting, distributions or otherwise, the directors decide by a resolution of directors.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Issue</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memorandum and these articles, the unissued shares may be issued, and options to acquire shares may be granted, at any times, to any persons (whether or not shareholders), for any consideration and on any terms, the directors decide by a resolution of directors.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 taken to be issued when the name of the holder is entered in the register of shareholders as the holder of the share.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No pre-emptive rights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directors do not have to offer to issue any shares, or transfer any treasury shares, to any existing shareholder before issuing the shares, or transferring the treasury shares, to any person.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b w:val="1"/>
          <w:bCs w:val="1"/>
          <w:color w:val="auto"/>
        </w:rPr>
        <w:t>Consideration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may be issued for consideration in any form or combination of forms, including money, a promissory note (or other written obligation to contribute money or property), real property, personal property (including goodwill and know-how), services performed or a contract to perform future services.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9" w:name="page150"/>
    <w:bookmarkEnd w:id="149"/>
    <w:p>
      <w:pPr>
        <w:ind w:left="1300" w:hanging="644"/>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issuing a share for a consideration that is or includes non-cash consideration, the directors must pass a resolution of directors stating:</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credited for the issue of the share;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their opinion) the reasonable present cash value of the non-cash consideration and any cash consideration is not less than the amount to be credited for the issue of the share.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issued by the Company upon conversion of, or in exchange for, another share or a debt obligation or other security in the Company, shall be treated for all purposes as having been issued for money equal to the value of the consideration received or deemed to have been received by the Company in respect of the other share, debt obligation or security.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color w:val="auto"/>
        </w:rPr>
        <w:t>Nil paid and partly paid shares</w:t>
      </w:r>
    </w:p>
    <w:p>
      <w:pPr>
        <w:spacing w:after="0" w:line="229" w:lineRule="exact"/>
        <w:rPr>
          <w:sz w:val="20"/>
          <w:szCs w:val="20"/>
          <w:color w:val="auto"/>
        </w:rPr>
      </w:pPr>
    </w:p>
    <w:p>
      <w:pPr>
        <w:ind w:left="1300" w:hanging="64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shares that are nil paid or partly paid on issue.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not fully paid on issue are subject to the forfeiture provisions of these articles. For this purpose, shares are not considered to be fully paid on issue if the consideration for which they are issued is a promissory note (or other written obligation to contribute money or property) or a contract for future services.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b w:val="1"/>
          <w:bCs w:val="1"/>
          <w:color w:val="auto"/>
        </w:rPr>
        <w:t>Fractions of shares</w:t>
      </w:r>
    </w:p>
    <w:p>
      <w:pPr>
        <w:spacing w:after="0" w:line="229" w:lineRule="exact"/>
        <w:rPr>
          <w:sz w:val="20"/>
          <w:szCs w:val="20"/>
          <w:color w:val="auto"/>
        </w:rPr>
      </w:pPr>
    </w:p>
    <w:p>
      <w:pPr>
        <w:ind w:left="1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of a share confers on the holder the rights, obligations and liabilities of a whole share of the same class corresponding to the fraction other than the right to vote.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of a fraction of a share acquires a further fraction of a share of the same class, the fractions will be treated as being consolidated.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b w:val="1"/>
          <w:bCs w:val="1"/>
          <w:color w:val="auto"/>
        </w:rPr>
        <w:t>Joint holdings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two or more persons are registered as the holders of a share:</w:t>
      </w:r>
    </w:p>
    <w:p>
      <w:pPr>
        <w:spacing w:after="0" w:line="225"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are taken to hold the share as joint tenants with the benefit of survivorship;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need not register more than four persons as the joint holders of the share;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are jointly and individually liable for all amounts owed to the Company in respect of the share;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holder may give a good receipt for any dividend or other distribution or other payment from the Company in respect of the share;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another joint holder is nominated by a written notice signed by all of the joint holders for any of these purposes, only the senior joint holder is entitled to:</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share certificate for the share;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vote (whether in person or by proxy) at any meeting of shareholders, or sign or consent to any written resolution of shareholders, in respect of the share;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notices from the Company in respect of the share and any notice given to the senior joint holder is to be treated as being given to all of the joint holders;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dividend or other distribution or other payment from the Company in respect of the share; and</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1300" w:hanging="644"/>
        <w:spacing w:after="0" w:line="282"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article, seniority is determined by the order in which the names of the joint holders appear in the register of shareholders.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INTERESTS NOT RECOGNISED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Trusts not recognised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required by law or these articles, the Company is not required to:</w:t>
      </w:r>
    </w:p>
    <w:p>
      <w:pPr>
        <w:spacing w:after="0" w:line="225"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recognise any person as holding any share on any trust (whether express, implied or constructive);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 the register of shareholders notice of any trust (whether express, implied or constructive).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Registered holder’s absolute right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Except as required by law or these articles, the Company is not required to recognise (even when having notice of it) any interest (whether equitable, contingent, future or otherwise) in any share other than the registered holder’s absolute right to the share and all rights attaching to it.</w:t>
      </w:r>
    </w:p>
    <w:p>
      <w:pPr>
        <w:spacing w:after="0" w:line="158"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CHARGES OVER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Creation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Act, and the applicable Listing Rules, a shareholder may create a charge over any of the shareholder’s shares.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Register of shareholders</w:t>
      </w:r>
    </w:p>
    <w:p>
      <w:pPr>
        <w:spacing w:after="0" w:line="229" w:lineRule="exact"/>
        <w:rPr>
          <w:sz w:val="20"/>
          <w:szCs w:val="20"/>
          <w:color w:val="auto"/>
        </w:rPr>
      </w:pPr>
    </w:p>
    <w:p>
      <w:pPr>
        <w:ind w:left="1300" w:hanging="644"/>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notifies the Company that the shareholder has created a charge over any of the shareholder’s shares, and requests the Company to do so, the Company must enter the following particulars in the register of shareholders: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relevant number of the shareholder’s shares is subject to a charge;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chargee;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which the particulars specified in paragraphs (a) and (b) above are entered in the register of shareholders.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particulars of a charge are entered in the register of shareholders in accordance with these articles, the particulars will only be cancelled or removed: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chargee or a person who the directors are satisfied is authorised to act on behalf of the chargee;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provided with:</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the directors that the liabilities secured by the charge have been discharged in full;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consider it necessary or desirable) an indemnity that is satisfactory, in form and substance, to the directors.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1" w:name="page152"/>
    <w:bookmarkEnd w:id="151"/>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auto"/>
        </w:rPr>
        <w:t>No dealings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particulars of a charge over any shares of a shareholder are entered in the register of shareholders in accordance with these articles,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will not:</w:t>
      </w:r>
    </w:p>
    <w:p>
      <w:pPr>
        <w:spacing w:after="0" w:line="207" w:lineRule="exact"/>
        <w:rPr>
          <w:sz w:val="20"/>
          <w:szCs w:val="20"/>
          <w:color w:val="auto"/>
        </w:rPr>
      </w:pPr>
    </w:p>
    <w:p>
      <w:pPr>
        <w:ind w:left="1300" w:hanging="644"/>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any transfer of any of those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any of those shares;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replacement share certificate for any of those shares, without the written consent of the chargee.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8"/>
          <w:szCs w:val="18"/>
          <w:b w:val="1"/>
          <w:bCs w:val="1"/>
          <w:color w:val="auto"/>
        </w:rPr>
        <w:t>No liability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Despite anything to the contrary contained in these articles, neither the Company nor any of its directors, officers, agents or employees will incur any liability to any chargee for failing to comply with any provision of these articles relating to shares that are subject to a charge.</w:t>
      </w:r>
    </w:p>
    <w:p>
      <w:pPr>
        <w:spacing w:after="0" w:line="158"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CERTIFICATES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No certification requirement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memorandum or these articles shall require title to any share to be evidenced by a share certificate to the extent the Act, the applicable Listing Rules, or any other laws, rules, procedures or other requirements applicable to shares listed on a Designated Stock Exchange permit otherwise.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in accordance with the Act and the laws, rules, procedures and other requirements applicable to shares listed on a Designated Stock Exchange (including, but not limited to, the applicable Listing Rules), the directors, without further consultation with any shareholder, may resolve that any class or series of shares in issue, or to be issued, from time to time, may be issued, held, registered, converted to, transferred or otherwise dealt with in uncertificated form.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shareholder to whom a share certificate is issued must indemnify each of the Company and its directors, officers, agents and employees, from any loss, cost, liability or expense which any of them may incur from any wrongful or fraudulent use or representation made by any person who possesses the share certificate.</w:t>
      </w:r>
    </w:p>
    <w:p>
      <w:pPr>
        <w:spacing w:after="0" w:line="172"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AND TRANSMISSION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Transfers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these articles, reference to the transfer of a share includes a transfer, assignment or other disposal of a beneficial or other interest in that share, and reference to a share includes a beneficial or other interest in a share, either voluntarily or involuntarily, directly or indirectly, whether or not for consideration, and reference to a share includes a beneficial or other interest in a share, with any transfer of a B Share being subject to clause 6.3 (Automatic conversion of B Shares) of the memorandum.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Listed shares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shares are listed on a Designated Stock Exchange, the shares may be transferred without the need for a written instrument of transfer if the transfer is carried out in accordance with the laws, rules, procedures and other requirements applicable to shares listed on a Designated Stock Exchange (including, but not limited to, the applicable Listing Rules).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2" w:name="page153"/>
    <w:bookmarkEnd w:id="152"/>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Non-listed shares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Where shares are not listed on a Designated Stock Exchange, any transfer of such shares shall be effected in accordance with the provisions of articles 7.4 and 7.5.</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Transfer forms</w:t>
      </w:r>
    </w:p>
    <w:p>
      <w:pPr>
        <w:spacing w:after="0" w:line="229"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non-listed shares and subject to the Act, a share may only be transferred by a transfer form.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form must: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transferor;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number and class of shares being transferred;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name and address of the transferee;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one class of shares only;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will impose a liability to the Company on the transferee) be signed by the transferee.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17"/>
          <w:szCs w:val="17"/>
          <w:b w:val="1"/>
          <w:bCs w:val="1"/>
          <w:color w:val="auto"/>
        </w:rPr>
        <w:t>Registration</w:t>
      </w:r>
    </w:p>
    <w:p>
      <w:pPr>
        <w:spacing w:after="0" w:line="229" w:lineRule="exact"/>
        <w:rPr>
          <w:sz w:val="20"/>
          <w:szCs w:val="20"/>
          <w:color w:val="auto"/>
        </w:rPr>
      </w:pPr>
    </w:p>
    <w:p>
      <w:pPr>
        <w:ind w:left="1300" w:hanging="644"/>
        <w:spacing w:after="0" w:line="282"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non-listed shares, a share may be transferred if the transferor or transferee delivers to the office of the Company’s registered agent or any other address the directors specify for this purpose: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signed and completed transfer form;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certificate (if any) for the share;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establishing the right of the transferor to transfer the share the directors require by a resolution of directors.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must, promptly on receiving the documents referred to in paragraph (a) above, enter the name of the transferee of a share in the register of shareholders as the holder of the share unless the directors pass a resolution of directors refusing to register the transfer.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(in their sole and absolute discretion) decide by a resolution of directors to refuse to register the transfer of a share for any reason.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directors refuse to register the transfer of a share: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state the reason for their refusal in a resolution of directors;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as soon as practicable, send each of the transferor and transferee a notice of refusal.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must promptly register (and may not decline to register) the transfer of any share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is subject to a charge that is recorded in the register of shareholders;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ind w:left="1960" w:hanging="656"/>
        <w:spacing w:after="0"/>
        <w:tabs>
          <w:tab w:leader="none" w:pos="1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chargee gives the Company written confirmation that: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secured by the charge have not been discharged in full;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being made in connection with the creation, perfection or enforcement of the charge;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form complies with the provisions of these articles and is accompanied by the share certificate (if any) for the share.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b w:val="1"/>
          <w:bCs w:val="1"/>
          <w:color w:val="auto"/>
        </w:rPr>
        <w:t>Passing of title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of a share is only effective once the name of the transferee is entered in the register of shareholders.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b w:val="1"/>
          <w:bCs w:val="1"/>
          <w:color w:val="auto"/>
        </w:rPr>
        <w:t>Transmission</w:t>
      </w:r>
    </w:p>
    <w:p>
      <w:pPr>
        <w:spacing w:after="0" w:line="229" w:lineRule="exact"/>
        <w:rPr>
          <w:sz w:val="20"/>
          <w:szCs w:val="20"/>
          <w:color w:val="auto"/>
        </w:rPr>
      </w:pPr>
    </w:p>
    <w:p>
      <w:pPr>
        <w:ind w:left="1300" w:hanging="644"/>
        <w:spacing w:after="0" w:line="282"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dies, the only person who will be recognised by the Company as having any title to the deceased shareholder’s interest in any share is: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shareholder was a joint holder) any surviving joint holder;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shareholder was a sole or the only surviving holder) the personal representative of the deceased shareholder,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but nothing in these articles releases the estate of a deceased shareholder from any liability in respect of the share.</w:t>
      </w:r>
    </w:p>
    <w:p>
      <w:pPr>
        <w:spacing w:after="0" w:line="225" w:lineRule="exact"/>
        <w:rPr>
          <w:sz w:val="20"/>
          <w:szCs w:val="20"/>
          <w:color w:val="auto"/>
        </w:rPr>
      </w:pPr>
    </w:p>
    <w:p>
      <w:pPr>
        <w:ind w:left="1300" w:hanging="644"/>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entitled person may elect to have a share registered in: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entitled person’s name by giving written notice to that effect to the Company;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person’s name by delivering to the Company a properly signed and competed transfer form in favour of that person.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entitled person must produce any evidence establishing the entitled person’s entitlement to a share the directors require by a resolution of directors.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entitled person has the same rights in relation to a share to which the entitled person is entitled as the entitled person would have if the share were registered in the entitled person’s name, except that until the entitled person is registered as the holder of the share, the entitled person cannot attend or vote at any meeting of shareholders or sign or consent to any written resolution of shareholders.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CALLS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Calls</w:t>
      </w:r>
    </w:p>
    <w:p>
      <w:pPr>
        <w:spacing w:after="0" w:line="229" w:lineRule="exact"/>
        <w:rPr>
          <w:sz w:val="20"/>
          <w:szCs w:val="20"/>
          <w:color w:val="auto"/>
        </w:rPr>
      </w:pPr>
    </w:p>
    <w:p>
      <w:pPr>
        <w:ind w:left="1300" w:hanging="644"/>
        <w:spacing w:after="0"/>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the rights attaching to any class of shares: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calls on a shareholder for any amount of the issue price of the shareholder’s shares that has not been paid to the Company;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must be made by giving a written notice of call;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14 days’ notice of a call must be given to the shareholder.</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4" w:name="page155"/>
    <w:bookmarkEnd w:id="154"/>
    <w:p>
      <w:pPr>
        <w:ind w:left="1300" w:hanging="644"/>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may be made payable in instalments. The directors may postpone a call or revoke it (in whole or part).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is taken to have been made at the time the resolution of directors to make the call is passed.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Notice of call</w:t>
      </w:r>
    </w:p>
    <w:p>
      <w:pPr>
        <w:spacing w:after="0" w:line="229"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call must state: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which it relates;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call;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by which payment must be made in full;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the call must be paid or details of a bank account into which payment may be made by electronic funds transfer.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terms of issue of any shares state that an amount becomes payable on a fixed date, then: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issue are to be treated as a properly given notice of call;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must pay the amount in full in accordance with the terms of issue;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the amount in full, the provisions of these articles (including regarding payment of interest and forfeiture) apply as if the amount had become payable under a properly given notice of call.</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 shareholder fails to pay a call (or instalment of a call) in full on or before the due date for payment, the directors may require the shareholder to pay interest on the sum due from the specified payment date to the time of actual payment at a rate determined by a resolution of directors.</w:t>
      </w:r>
    </w:p>
    <w:p>
      <w:pPr>
        <w:spacing w:after="0" w:line="158"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Application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article applies to any share that is not fully paid on issue unless the share is subject to a charge that is recorded in the register of shareholders.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Default notice</w:t>
      </w:r>
    </w:p>
    <w:p>
      <w:pPr>
        <w:spacing w:after="0" w:line="229" w:lineRule="exact"/>
        <w:rPr>
          <w:sz w:val="20"/>
          <w:szCs w:val="20"/>
          <w:color w:val="auto"/>
        </w:rPr>
      </w:pPr>
    </w:p>
    <w:p>
      <w:pPr>
        <w:ind w:left="1300" w:hanging="644"/>
        <w:spacing w:after="0" w:line="282"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shareholder fails to pay any call (or instalment of a call) in full on or before the due date for payment, the directors may serve a written notice (a </w:t>
      </w:r>
      <w:r>
        <w:rPr>
          <w:rFonts w:ascii="Times New Roman" w:cs="Times New Roman" w:eastAsia="Times New Roman" w:hAnsi="Times New Roman"/>
          <w:sz w:val="18"/>
          <w:szCs w:val="18"/>
          <w:b w:val="1"/>
          <w:bCs w:val="1"/>
          <w:color w:val="auto"/>
        </w:rPr>
        <w:t>default notice</w:t>
      </w:r>
      <w:r>
        <w:rPr>
          <w:rFonts w:ascii="Times New Roman" w:cs="Times New Roman" w:eastAsia="Times New Roman" w:hAnsi="Times New Roman"/>
          <w:sz w:val="18"/>
          <w:szCs w:val="18"/>
          <w:color w:val="auto"/>
        </w:rPr>
        <w:t>) on the shareholder requiring the shareholder to pay: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call (or instalment) that remains unpaid;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which has accrued on the unpaid amount;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which the Company has incurred as a result of the shareholder’s payment default.</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5" w:name="page156"/>
    <w:bookmarkEnd w:id="155"/>
    <w:p>
      <w:pPr>
        <w:ind w:left="1300" w:hanging="644"/>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notice must state: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which it relates;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call (or instalment) that remains unpaid;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amounts (if any) the shareholder must pay under these articles as a result of the shareholder’s payment default;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payment date (which must not be earlier than 14 days from the date of receipt of the default notice) by which the shareholder must pay in full all amounts payable under the default notice;</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all amounts payable under the default notice must be paid or details of a bank account into which payment may be made by electronic funds transfer;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the shareholder fails to pay in full all amounts payable under the default notice by the date specified in it, the shares (or any of them) for which payment is not made will be liable to be forfeited.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Forfeiture</w:t>
      </w:r>
    </w:p>
    <w:p>
      <w:pPr>
        <w:spacing w:after="0" w:line="229" w:lineRule="exact"/>
        <w:rPr>
          <w:sz w:val="20"/>
          <w:szCs w:val="20"/>
          <w:color w:val="auto"/>
        </w:rPr>
      </w:pPr>
    </w:p>
    <w:p>
      <w:pPr>
        <w:ind w:left="1300" w:hanging="644"/>
        <w:spacing w:after="0" w:line="282" w:lineRule="auto"/>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shareholder fails to comply with a default notice, the directors may at any time prior to payment being made in full, decide by a resolution of directors to forfeit and cancel any of the shares to which the default notice relates.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that has been forfeited and cancelled may be re-issued under these articles.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Effect of forfeiture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shareholder whose shares have been forfeited and cancelled:</w:t>
      </w:r>
    </w:p>
    <w:p>
      <w:pPr>
        <w:spacing w:after="0" w:line="225" w:lineRule="exact"/>
        <w:rPr>
          <w:sz w:val="20"/>
          <w:szCs w:val="20"/>
          <w:color w:val="auto"/>
        </w:rPr>
      </w:pPr>
    </w:p>
    <w:p>
      <w:pPr>
        <w:ind w:left="1300" w:hanging="644"/>
        <w:spacing w:after="0"/>
        <w:tabs>
          <w:tab w:leader="none" w:pos="13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a shareholder in respect of those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entitled to be refunded any moneys paid to the Company in respect of those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discharged from any further obligation to the Company in respect of those shares.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PURCHASES AND REDEMPTIONS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Purchases and redemptions</w:t>
      </w:r>
    </w:p>
    <w:p>
      <w:pPr>
        <w:spacing w:after="0" w:line="229" w:lineRule="exact"/>
        <w:rPr>
          <w:sz w:val="20"/>
          <w:szCs w:val="20"/>
          <w:color w:val="auto"/>
        </w:rPr>
      </w:pPr>
    </w:p>
    <w:p>
      <w:pPr>
        <w:ind w:left="1300" w:hanging="644"/>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these articles, the directors may:</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any shares at any times, from any shareholder, for any consideration (whether or not at a premium) and on any terms the directors decide by a resolution of directors;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for no consideration any fully paid shares from a shareholder by way of surrender of the shares.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6" w:name="page157"/>
    <w:bookmarkEnd w:id="156"/>
    <w:p>
      <w:pPr>
        <w:ind w:left="1300" w:hanging="644"/>
        <w:spacing w:after="0" w:line="282"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60 (Process for purchase etc), 61 (Offer to one or more shareholders) and 62 (Shares redeemed otherwise than at option of company) of the Act do not apply to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color w:val="auto"/>
        </w:rPr>
        <w:t>Consent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must not purchase, redeem or otherwise acquire any shares without the consent of the shareholder concerned unless the Company is permitted to do so without the shareholder’s consent by the Act, the memorandum or these articles and for the avoidance of doubt, shareholder consent is not required for any conversion of shares pursuant to clause 6.3 of the memorandum.</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b w:val="1"/>
          <w:bCs w:val="1"/>
          <w:color w:val="auto"/>
        </w:rPr>
        <w:t>Solvency test</w:t>
      </w:r>
    </w:p>
    <w:p>
      <w:pPr>
        <w:spacing w:after="0" w:line="229" w:lineRule="exact"/>
        <w:rPr>
          <w:sz w:val="20"/>
          <w:szCs w:val="20"/>
          <w:color w:val="auto"/>
        </w:rPr>
      </w:pPr>
    </w:p>
    <w:p>
      <w:pPr>
        <w:ind w:left="1300" w:right="20" w:hanging="644"/>
        <w:spacing w:after="0" w:line="282" w:lineRule="auto"/>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only purchase, redeem or otherwise acquire any shares if they are satisfied (on reasonable grounds) that the Company will satisfy the solvency test immediately after the relevant payment is made.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only applies where the Act requires the directors to be satisfied as to the matters referred to in this article.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Treasury shares</w:t>
      </w:r>
    </w:p>
    <w:p>
      <w:pPr>
        <w:spacing w:after="0" w:line="229" w:lineRule="exact"/>
        <w:rPr>
          <w:sz w:val="20"/>
          <w:szCs w:val="20"/>
          <w:color w:val="auto"/>
        </w:rPr>
      </w:pPr>
    </w:p>
    <w:p>
      <w:pPr>
        <w:ind w:left="1300" w:hanging="644"/>
        <w:spacing w:after="0" w:line="282" w:lineRule="auto"/>
        <w:tabs>
          <w:tab w:leader="none" w:pos="13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decide by a resolution of directors to do so, the Company may hold as treasury shares any shares that it purchases, redeems or otherwise acquires in accordance with these articles.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 redemption or other acquisition of any share would, when aggregated with all other shares of that class held by the Company as treasury shares, result in the Company holding more than 50 per cent of the issued shares of that class (excluding any shares that have been cancelled), that share must be cancelled but may be reissued.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obligations attaching to a treasury share are suspended and may not be exercised by or against the Company while it holds the share as a treasury share.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shares held by the Company may be transferred at any times, to any persons (whether or not shareholders), for any consideration and on any terms the directors decide by a resolution of directors.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SHAREHOLDERS’ MEETINGS AND WRITTEN RESOLUTIONS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Calling meetings</w:t>
      </w:r>
    </w:p>
    <w:p>
      <w:pPr>
        <w:spacing w:after="0" w:line="229" w:lineRule="exact"/>
        <w:rPr>
          <w:sz w:val="20"/>
          <w:szCs w:val="20"/>
          <w:color w:val="auto"/>
        </w:rPr>
      </w:pPr>
    </w:p>
    <w:p>
      <w:pPr>
        <w:ind w:left="1300" w:hanging="644"/>
        <w:spacing w:after="0"/>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call a meeting of shareholders (or a class of shareholders) if they decide to do so by a resolution of directors;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call a meeting of shareholders (or a class of shareholders) if they are requested to do so in writing by shareholders entitled to exercise at least 30 per cent of voting rights in respect of the matter for which the meeting is requested.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directors are required to call a meeting of shareholders at the request of shareholders, they must call the meeting within a reasonable period of time, and in any event within 60 days, of receipt of the request.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7" w:name="page158"/>
    <w:bookmarkEnd w:id="157"/>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Annual General Meeting</w:t>
      </w:r>
    </w:p>
    <w:p>
      <w:pPr>
        <w:spacing w:after="0" w:line="229" w:lineRule="exact"/>
        <w:rPr>
          <w:sz w:val="20"/>
          <w:szCs w:val="20"/>
          <w:color w:val="auto"/>
        </w:rPr>
      </w:pPr>
    </w:p>
    <w:p>
      <w:pPr>
        <w:ind w:right="1940" w:firstLine="648"/>
        <w:spacing w:after="0" w:line="500" w:lineRule="auto"/>
        <w:rPr>
          <w:sz w:val="20"/>
          <w:szCs w:val="20"/>
          <w:color w:val="auto"/>
        </w:rPr>
      </w:pPr>
      <w:r>
        <w:rPr>
          <w:rFonts w:ascii="Times New Roman" w:cs="Times New Roman" w:eastAsia="Times New Roman" w:hAnsi="Times New Roman"/>
          <w:sz w:val="18"/>
          <w:szCs w:val="18"/>
          <w:color w:val="auto"/>
        </w:rPr>
        <w:t xml:space="preserve">Where shares are listed on a Designated Stock Exchange, the Company may, at the directors’ discretion, hold an AGM . 11.3 </w:t>
      </w:r>
      <w:r>
        <w:rPr>
          <w:rFonts w:ascii="Times New Roman" w:cs="Times New Roman" w:eastAsia="Times New Roman" w:hAnsi="Times New Roman"/>
          <w:sz w:val="18"/>
          <w:szCs w:val="18"/>
          <w:b w:val="1"/>
          <w:bCs w:val="1"/>
          <w:color w:val="auto"/>
        </w:rPr>
        <w:t>Time and place</w:t>
      </w:r>
    </w:p>
    <w:p>
      <w:pPr>
        <w:spacing w:after="0" w:line="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meeting of shareholders or AGM may be held at any time and any place (whether within or outside the British Virgin Islands) the directors decide by a resolution of directors.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Length and form of notice</w:t>
      </w:r>
    </w:p>
    <w:p>
      <w:pPr>
        <w:spacing w:after="0" w:line="229" w:lineRule="exact"/>
        <w:rPr>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meeting of shareholders or AGM must be called by not less than seven days’ written notice.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meeting must state: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place of the meeting;</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anticipated that not all shareholders will participate in the meeting from the same place) the means by which they will communicate with each other during the meeting;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nature of the business to be conducted.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must give notice of each meeting of shareholders or AGM to: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on the record date, is recorded as a shareholder in the register of shareholders other than any shareholder who is not entitled under these articles to attend and vote at the meeting;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set a record date for determining the shareholders entitled to attend and vote at a meeting of shareholders or an AGM. The record date may be the date on which the notice of meeting is given or a later date specified in the notice.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color w:val="auto"/>
        </w:rPr>
        <w:t>Waiver and failure to give notice</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meeting of shareholders or an AGM is held in contravention of the notice requirements of these articles, the meeting will be valid if shareholders holding at least 90 per cent of the total voting rights on all the matters considered at the meeting waive notice of the meeting. For this purpose, the presence of a shareholder at the meeting constitutes waiver of notice by the shareholder.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shareholders or an AGM will be valid even if the Company inadvertently fails to give notice of the meeting to any person entitled to receive it or the person does not receive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b w:val="1"/>
          <w:bCs w:val="1"/>
          <w:color w:val="auto"/>
        </w:rPr>
        <w:t>Persons entitled to attend</w:t>
      </w:r>
    </w:p>
    <w:p>
      <w:pPr>
        <w:spacing w:after="0" w:line="229" w:lineRule="exact"/>
        <w:rPr>
          <w:sz w:val="20"/>
          <w:szCs w:val="20"/>
          <w:color w:val="auto"/>
        </w:rPr>
      </w:pPr>
    </w:p>
    <w:p>
      <w:pPr>
        <w:ind w:left="1300" w:hanging="644"/>
        <w:spacing w:after="0" w:line="282" w:lineRule="auto"/>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may attend and speak at any meeting of shareholders (or class of shareholders) or AGM even if the director is not a shareholder.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invite any person (including an auditor) who is not a shareholder to attend and speak at any meeting of shareholders (or class of shareholders) or AGM.</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ind w:left="1300" w:hanging="644"/>
        <w:spacing w:after="0" w:line="282" w:lineRule="auto"/>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otherwise in these articles, no person may attend, vote or speak at any meeting of shareholders (or class of shareholders) or AGM unless the person is a shareholder.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color w:val="auto"/>
        </w:rPr>
        <w:t>Quorum</w:t>
      </w:r>
    </w:p>
    <w:p>
      <w:pPr>
        <w:spacing w:after="0" w:line="229" w:lineRule="exact"/>
        <w:rPr>
          <w:sz w:val="20"/>
          <w:szCs w:val="20"/>
          <w:color w:val="auto"/>
        </w:rPr>
      </w:pPr>
    </w:p>
    <w:p>
      <w:pPr>
        <w:ind w:left="1300" w:hanging="644"/>
        <w:spacing w:after="0" w:line="282" w:lineRule="auto"/>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may be conducted at any meeting of shareholders or AGM (other than the adjournment of the meeting) unless a quorum is present at the time the meeting proceeds to business.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is present at a meeting of shareholders and an AGM if one or more shareholders, who hold shares that carry at least one third of the voting rights of all shares then in issue, are present in person or by proxy. If the Company has a sole shareholder, a quorum is present if the sole shareholder is present.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quorum is not present within half an hour of the time set for the start of the meeting, if the meeting was called: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shareholders in accordance with the Act or these articles, it will be dissolved;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directors, the meeting will be adjourned to the following day and be held at the same time and place or any other date, time and/or place the directors decide by a resolution of directors.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b w:val="1"/>
          <w:bCs w:val="1"/>
          <w:color w:val="auto"/>
        </w:rPr>
        <w:t>Chairman</w:t>
      </w:r>
    </w:p>
    <w:p>
      <w:pPr>
        <w:spacing w:after="0" w:line="229" w:lineRule="exact"/>
        <w:rPr>
          <w:sz w:val="20"/>
          <w:szCs w:val="20"/>
          <w:color w:val="auto"/>
        </w:rPr>
      </w:pPr>
    </w:p>
    <w:p>
      <w:pPr>
        <w:ind w:left="1300" w:hanging="64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directors is to act as chairman at every meeting of shareholders or AGM.</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chairman of directors, the chairman is not present or the chairman is unwilling to act as chairman of the meeting, the directors present must choose from among themselves a chairman for the meeting.</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director is present and willing to act as chairman of the meeting, the shareholders present (in person or by proxy) must choose a shareholder to be chairman. If they cannot agree on a chairman, the meeting will be dissolved.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b w:val="1"/>
          <w:bCs w:val="1"/>
          <w:color w:val="auto"/>
        </w:rPr>
        <w:t>Adjournment</w:t>
      </w:r>
    </w:p>
    <w:p>
      <w:pPr>
        <w:spacing w:after="0" w:line="229" w:lineRule="exact"/>
        <w:rPr>
          <w:sz w:val="20"/>
          <w:szCs w:val="20"/>
          <w:color w:val="auto"/>
        </w:rPr>
      </w:pPr>
    </w:p>
    <w:p>
      <w:pPr>
        <w:ind w:left="1300" w:hanging="64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 meeting of shareholders or an AGM:</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with the consent of the shareholders present (in person or by proxy);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if directed to do so by a resolution of shareholders,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adjourn the meeting to another date, time and/or place.</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chairman of the meeting may, at any time without the consent of the shareholders present (in person or by proxy), adjourn the meeting (whether or not it has commenced or a quorum is present) to another date, time and/or place if the chairman considers that it would facilitate the conduct of the business of the meeting to do so.</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limits any other power vested in the chairman of the meeting to adjourn the meeting.</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9" w:name="page160"/>
    <w:bookmarkEnd w:id="159"/>
    <w:p>
      <w:pPr>
        <w:ind w:left="1300" w:right="2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may be conducted at any adjourned meeting other than the business which might have been conducted at the meeting from which the adjournment took place.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b w:val="1"/>
          <w:bCs w:val="1"/>
          <w:color w:val="auto"/>
        </w:rPr>
        <w:t>Voting</w:t>
      </w:r>
    </w:p>
    <w:p>
      <w:pPr>
        <w:spacing w:after="0" w:line="229" w:lineRule="exact"/>
        <w:rPr>
          <w:sz w:val="20"/>
          <w:szCs w:val="20"/>
          <w:color w:val="auto"/>
        </w:rPr>
      </w:pPr>
    </w:p>
    <w:p>
      <w:pPr>
        <w:ind w:left="1300" w:hanging="644"/>
        <w:spacing w:after="0" w:line="282" w:lineRule="auto"/>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put to a vote at a meeting of shareholders or an AGM, will be passed and become a resolution of shareholders if the necessary number of votes is cast in favour of the resolution.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shareholders or AGM, each shareholder entitled to vote on a resolution, has (on a show of hands or on a poll) the number of votes for every share held by the shareholder as prescribed by clause 6 of the memorandum. A shareholder need not cast all of the shareholder’s votes or cast all of the shareholder’s votes in the same way.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shareholders or AGM, a resolution put to a vote must be decided on a show of hands unless a poll is demanded by the chairman or a shareholder either before or after the declaration of the result of the show of hands.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poll is demanded: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by the chairman of the meeting that a resolution has been passed or lost on a show of hands;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entry to that effect in the minutes of the meeting,</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is conclusive evidence of the fact without proof of the number or proportion of the votes cast for or against the resolution.</w:t>
      </w:r>
    </w:p>
    <w:p>
      <w:pPr>
        <w:spacing w:after="0" w:line="225" w:lineRule="exact"/>
        <w:rPr>
          <w:sz w:val="20"/>
          <w:szCs w:val="20"/>
          <w:color w:val="auto"/>
        </w:rPr>
      </w:pPr>
    </w:p>
    <w:p>
      <w:pPr>
        <w:ind w:left="1300" w:hanging="644"/>
        <w:spacing w:after="0" w:line="282" w:lineRule="auto"/>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demanded, it must be taken immediately in any manner the chairman directs. The result of the poll will be treated as the decision of the shareholders present (in person or by proxy) on the resolution for which the poll was demanded.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 for a poll may be withdrawn at any time before the poll is taken.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may only object to the qualification of any other person to vote at the meeting of shareholders or AGM (or any adjournment of the meeting) at which that other person’s vote is cast. Any objection must be referred to the chairman of the meeting whose decision will be final and conclusive. Every vote not disallowed by the chairman will be valid for all purposes.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b w:val="1"/>
          <w:bCs w:val="1"/>
          <w:color w:val="auto"/>
        </w:rPr>
        <w:t>Restriction on voting and quorum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directors decide otherwise by a resolution of directors, a shareholder may not:</w:t>
      </w:r>
    </w:p>
    <w:p>
      <w:pPr>
        <w:spacing w:after="0" w:line="225" w:lineRule="exact"/>
        <w:rPr>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or vote (in person or by proxy) at any meeting of shareholders (or class of shareholders) or AGM;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or consent to any written resolution of shareholders (or class of shareholders),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respect of any share held by the shareholder unless all calls and other sums currently payable by the shareholder to the Company in respect of the share have been paid in full.</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0" w:name="page161"/>
    <w:bookmarkEnd w:id="16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7"/>
          <w:szCs w:val="17"/>
          <w:b w:val="1"/>
          <w:bCs w:val="1"/>
          <w:color w:val="auto"/>
        </w:rPr>
        <w:t>Proxies</w:t>
      </w:r>
    </w:p>
    <w:p>
      <w:pPr>
        <w:spacing w:after="0" w:line="229" w:lineRule="exact"/>
        <w:rPr>
          <w:sz w:val="20"/>
          <w:szCs w:val="20"/>
          <w:color w:val="auto"/>
        </w:rPr>
      </w:pPr>
    </w:p>
    <w:p>
      <w:pPr>
        <w:ind w:left="1300" w:right="20" w:hanging="644"/>
        <w:spacing w:after="0" w:line="282"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appoint a proxy to attend, speak and vote on behalf of the shareholder at any meeting of shareholders (or class of shareholders) or AGM.</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proxy need not be a shareholder and must be appointed by a written notice (a </w:t>
      </w:r>
      <w:r>
        <w:rPr>
          <w:rFonts w:ascii="Times New Roman" w:cs="Times New Roman" w:eastAsia="Times New Roman" w:hAnsi="Times New Roman"/>
          <w:sz w:val="18"/>
          <w:szCs w:val="18"/>
          <w:b w:val="1"/>
          <w:bCs w:val="1"/>
          <w:color w:val="auto"/>
        </w:rPr>
        <w:t>proxy notice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notice must be:</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provided to shareholders by the Company (if any) or any form the chairman of the meeting accepts as properly evidencing the wishes of the relevant shareholder;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shareholder or the shareholder’s properly appointed attorney or (if the shareholder is a body corporate) executed under its common seal or signed by a properly authorised officer or attorney;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deposited at the Company’s registered office (or any other place specified for this purpose in the notice of meeting) together with any power of attorney or other authority (if any) under which it was signed or executed at least two hours before the time set for the start of the meeting or any later time the chairman of the meeting permits.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proxy notice states otherwise: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valid for any adjournment of the meeting to which it relates;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confers authority on the proxy to vote or abstain as the proxy thinks fit on any resolution to be considered at the meeting (including an amendment to a resolution).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accept as valid a copy of any proxy notice and any power of attorney or other authority (if any) under which it was signed or executed. If the chairman does so, within seven days of the date of the meeting, the shareholder must produce to the Company: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proxy notice;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power of attorney or other authority (if any) under which it was signed or executed certified in a manner acceptable to the directors,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otherwise the votes cast by the proxy will be disregarded.</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by proxy will be treated as valid despite the previous termination or revocation of the authority of the proxy if the Company has not received written notice of the termination or revocation of authority at Company’s registered office (or any other place for the deposit of proxy notices specified in the notice of meeting) prior to the time set for the start of the meeting (or any adjournment of the meeting).</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valid but differing proxy notices are received from a shareholder for use at the same meeting, the one which is last received (regardless of its date or the date of its signature) will be treated as replacing and revoking the others. If the Company is unable to determine which proxy notice was last received, none of them will be treated as valid.</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b w:val="1"/>
          <w:bCs w:val="1"/>
          <w:color w:val="auto"/>
        </w:rPr>
        <w:t>Shareholders with legal incapacity</w:t>
      </w:r>
    </w:p>
    <w:p>
      <w:pPr>
        <w:spacing w:after="0" w:line="229" w:lineRule="exact"/>
        <w:rPr>
          <w:sz w:val="20"/>
          <w:szCs w:val="20"/>
          <w:color w:val="auto"/>
        </w:rPr>
      </w:pPr>
    </w:p>
    <w:p>
      <w:pPr>
        <w:ind w:left="1300" w:hanging="644"/>
        <w:spacing w:after="0" w:line="282" w:lineRule="auto"/>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shareholder suffering from any legal incapacity has appointed an attorney or is the subject of an order made by any court having jurisdiction in matters concerning legal incapacity: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may: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at any meeting of shareholders (or class of shareholders) or AGM;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or consent to any written resolution of shareholders (or class of shareholders),</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by the attorney or by any guardian, trustee or other person appointed by the court (each, an </w:t>
      </w:r>
      <w:r>
        <w:rPr>
          <w:rFonts w:ascii="Times New Roman" w:cs="Times New Roman" w:eastAsia="Times New Roman" w:hAnsi="Times New Roman"/>
          <w:sz w:val="18"/>
          <w:szCs w:val="18"/>
          <w:b w:val="1"/>
          <w:bCs w:val="1"/>
          <w:color w:val="auto"/>
        </w:rPr>
        <w:t>appointed person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left="1960" w:hanging="656"/>
        <w:spacing w:after="0"/>
        <w:tabs>
          <w:tab w:leader="none" w:pos="19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appointed person may vote at any meeting of shareholders (or class of shareholders) or AGM by proxy.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require any evidence they think fit of the authority of an appointed person prior to any vote being exercised, or any written resolution of shareholders being signed or consented to, by the appointed person.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b w:val="1"/>
          <w:bCs w:val="1"/>
          <w:color w:val="auto"/>
        </w:rPr>
        <w:t>Corporate representatives</w:t>
      </w:r>
    </w:p>
    <w:p>
      <w:pPr>
        <w:spacing w:after="0" w:line="229" w:lineRule="exact"/>
        <w:rPr>
          <w:sz w:val="20"/>
          <w:szCs w:val="20"/>
          <w:color w:val="auto"/>
        </w:rPr>
      </w:pPr>
    </w:p>
    <w:p>
      <w:pPr>
        <w:ind w:left="1300" w:right="20" w:hanging="644"/>
        <w:spacing w:after="0" w:line="282"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body corporate which is a shareholder may, by a resolution of its directors or other governing body, authorise any individual to act as its representative at a meeting of shareholders (or class of shareholders) or an AGM.</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these articles: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is taken to be present in person at any meeting of shareholders or AGM if its representative is present at the meeting;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is entitled to exercise the same rights the body corporate could exercise if it were an individual.</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(but are not bound to) require evidence of the authority of any individual to represent a body corporate at a meeting of shareholders (or class of shareholders) or an AGM, certified in any manner they think fit.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b w:val="1"/>
          <w:bCs w:val="1"/>
          <w:color w:val="auto"/>
        </w:rPr>
        <w:t>Participation by electronic means</w:t>
      </w:r>
    </w:p>
    <w:p>
      <w:pPr>
        <w:spacing w:after="0" w:line="229" w:lineRule="exact"/>
        <w:rPr>
          <w:sz w:val="20"/>
          <w:szCs w:val="20"/>
          <w:color w:val="auto"/>
        </w:rPr>
      </w:pPr>
    </w:p>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is taken to be present at a meeting of shareholders (or class of shareholders) or an AGM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participates in the meeting (in person or by proxy) by telephone or other electronic means;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participating in the meeting are able to hear each other.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one or more shareholders participate in a meeting of shareholders or an AGM by telephone or other electronic means, the meeting will be taken to be held at the place where the chairman of the meeting is located.</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2" w:name="page163"/>
    <w:bookmarkEnd w:id="16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7"/>
          <w:szCs w:val="17"/>
          <w:b w:val="1"/>
          <w:bCs w:val="1"/>
          <w:color w:val="auto"/>
        </w:rPr>
        <w:t>Written resolutions of shareholders</w:t>
      </w:r>
    </w:p>
    <w:p>
      <w:pPr>
        <w:spacing w:after="0" w:line="229" w:lineRule="exact"/>
        <w:rPr>
          <w:sz w:val="20"/>
          <w:szCs w:val="20"/>
          <w:color w:val="auto"/>
        </w:rPr>
      </w:pPr>
    </w:p>
    <w:p>
      <w:pPr>
        <w:ind w:left="1300" w:right="20" w:hanging="644"/>
        <w:spacing w:after="0" w:line="282"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that may be taken by the shareholders at a meeting of shareholders (or class of shareholders) may also be taken by the shareholders (or class of shareholders) passing a written resolution of shareholders without the need for any prior notice to be given.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resolution of shareholders: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consist of several documents (including electronic communications) in substantially the same form;</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signed or consented to by the relevant shareholder or the shareholder’s attorney or (in the case of a body corporate) a properly authorised officer or attorney;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sent to each shareholder who would be entitled to attend a meeting of shareholders and vote on the resolution.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written resolution of shareholders is passed without all of the shareholders signing or consenting to it, the Company must send a copy of it to those shareholders who have not signed or consented to it. If the Company fails to do so, this will not invalidate the resolution.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(but are not bound to) require evidence of the authority of any attorney or any authorised officer of a body corporate to sign or consent to a written resolution of shareholders, certified in any manner they think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sole shareholder, the sole shareholder may pass a written resolution of shareholders.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 GENERAL</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b w:val="1"/>
          <w:bCs w:val="1"/>
          <w:color w:val="auto"/>
        </w:rPr>
        <w:t>Number</w:t>
      </w:r>
    </w:p>
    <w:p>
      <w:pPr>
        <w:spacing w:after="0" w:line="229" w:lineRule="exact"/>
        <w:rPr>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(excluding alternate directors) is not subject to a maximum and the minimum number is one.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continuing directors, any shareholder or (if a secretary has been appointed) the secretary, may call a meeting of shareholders for the purpose of appointing directors by way of resolution of shareholders (but for the avoidance of doubt, for as long as there is one or more director appointed, article 12.3(c) shall apply).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No share qualification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director need not be a shareholder.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Appointment and election</w:t>
      </w:r>
    </w:p>
    <w:p>
      <w:pPr>
        <w:spacing w:after="0" w:line="229" w:lineRule="exact"/>
        <w:rPr>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may be elected or appointed a director, alternate director or reserve director if the person: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disqualified by law from, or would (if already a director) be ineligible under these articles to continue, acting as a director;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consented in writing to act as a director.</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3" w:name="page164"/>
    <w:bookmarkEnd w:id="163"/>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directors are to be appointed by the Company’s first registered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directors may appoint by a resolution of directors, any person to be a director, either to fill a vacancy or as an additional director, for any term (if any) the directors decide (and for the avoidance of doubt (but subject to article 12.1(b)), the shareholders have no right to appoint a director and for this purpose, section 113(2)(a) (Appointment of directors) of the Act does not apply to the Company).</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directors appoint a person as director to fill a vacancy, the term of appointment must not exceed the term remaining of the director who ceased to hold office.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Ceasing to be a director</w:t>
      </w:r>
    </w:p>
    <w:p>
      <w:pPr>
        <w:spacing w:after="0" w:line="229" w:lineRule="exact"/>
        <w:rPr>
          <w:sz w:val="20"/>
          <w:szCs w:val="20"/>
          <w:color w:val="auto"/>
        </w:rPr>
      </w:pPr>
    </w:p>
    <w:p>
      <w:pPr>
        <w:ind w:left="1300" w:hanging="64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ceases to hold office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term of office expires and the director is not re-elected or reappointed;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resigns by written notice to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or enters into bankruptcy, liquidation or any similar procedure;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of unsound mind or is mentally or physically incapable of acting as a director;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prohibited or disqualified by law or under the applicable Listing Rules from being a director;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insolvent or makes any arrangement or composition with the director’s creditors generally;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by a resolution of directors (and, for the avoidance of doubt, the shareholders have no right to remove a director and for this purpose, section 114 (Removal of directors) of the Act does not apply to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resigns, the resignation takes effect from the later of the date:</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notice of resignation is received at the Company’s registered office or the office of the Company’s registered agent;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resignation.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b w:val="1"/>
          <w:bCs w:val="1"/>
          <w:color w:val="auto"/>
        </w:rPr>
        <w:t>Fees and expenses</w:t>
      </w:r>
    </w:p>
    <w:p>
      <w:pPr>
        <w:spacing w:after="0" w:line="229" w:lineRule="exact"/>
        <w:rPr>
          <w:sz w:val="20"/>
          <w:szCs w:val="20"/>
          <w:color w:val="auto"/>
        </w:rPr>
      </w:pPr>
    </w:p>
    <w:p>
      <w:pPr>
        <w:ind w:left="1300" w:hanging="64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 paid for their services as directors any fees they decide by a resolution of directors.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 is requested to perform services, which the directors consider to be beyond the scope of the ordinary duties of a director, the director may be paid any additional remuneration (whether by way of fees, salary, commission, participation in profits or otherwise) the directors decide by a resolution of directors.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4" w:name="page165"/>
    <w:bookmarkEnd w:id="164"/>
    <w:p>
      <w:pPr>
        <w:ind w:left="1300" w:hanging="64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paid or reimbursed for all expenses properly incurred by the director in carrying out the director’s duties.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decide by a resolution of directors to provide benefits (whether by paying allowances, gratuities or pensions, by providing any form of insurance or in any other manner) for any director or former director or the relatives, or dependants of, or persons connected to, any director or former director. No director or former director is accountable to the Company for any benefit provided under this article.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additional remuneration, salary, commission, participation in profits, expenses or benefits provided to a director are subject to, and must be in accordance with, the applicable Listing Rules and any other applicable laws of any jurisdiction outside of the British Virgin Islands.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b w:val="1"/>
          <w:bCs w:val="1"/>
          <w:color w:val="auto"/>
        </w:rPr>
        <w:t>Alternate directors</w:t>
      </w:r>
    </w:p>
    <w:p>
      <w:pPr>
        <w:spacing w:after="0" w:line="229" w:lineRule="exact"/>
        <w:rPr>
          <w:sz w:val="20"/>
          <w:szCs w:val="20"/>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(other than an alternate director) may: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person to be the director’s alternate;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alternate from office at any time.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ceases to hold office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alternate’s appointor ceases to be a director;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alternate’s appointor removes the alternate;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resigns;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occurs which, if the alternate were a director, would cause the alternate to vacate that office.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must notify the Company in writing as soon as practicable of 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 alternate;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that results in an alternate ceasing to hold office.</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notice must be sent to the Company’s registered office or the office of the Company’s registered agent. An appointment or removal of an alternate by the director will only take effect once the notice has been received by the Company.</w:t>
      </w:r>
    </w:p>
    <w:p>
      <w:pPr>
        <w:spacing w:after="0" w:line="162" w:lineRule="exact"/>
        <w:rPr>
          <w:sz w:val="20"/>
          <w:szCs w:val="20"/>
          <w:color w:val="auto"/>
        </w:rPr>
      </w:pPr>
    </w:p>
    <w:p>
      <w:pPr>
        <w:ind w:left="1300" w:hanging="64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is: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to the Company for the alternate’s own acts and defaults;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 agent of the alternate’s appointor.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is entitled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each meeting of directors and each meeting of any committee of which the alternate’s appointor is a member;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an alternate for more than one director;</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5" w:name="page166"/>
    <w:bookmarkEnd w:id="165"/>
    <w:p>
      <w:pPr>
        <w:ind w:left="1960" w:right="20" w:hanging="656"/>
        <w:spacing w:after="0" w:line="282" w:lineRule="auto"/>
        <w:tabs>
          <w:tab w:leader="none" w:pos="1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vote at any meeting of directors at which the alternate’s appointer is not present and exercise all powers and perform all the duties of the alternate’s appointor at the meeting;</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or consent to any written resolution of directors if the alternate’s appointor is unable to do so for any reason;</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vote for each appointor the alternate represents in addition to any vote the alternate has in the alternate’s own right if the alternate is a director;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separately toward the quorum for any meeting (whether of directors or any committee) for each appointor the alternate represents in addition to counting toward the quorum in the alternate’s own right if the alternate is a director;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paid or reimbursed for any expenses properly incurred by the alternate but is not entitled to any fees or other compensation from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b w:val="1"/>
          <w:bCs w:val="1"/>
          <w:color w:val="auto"/>
        </w:rPr>
        <w:t>Corporate directors</w:t>
      </w:r>
    </w:p>
    <w:p>
      <w:pPr>
        <w:spacing w:after="0" w:line="229"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Any director which is a body corporate may appoint any individual as its properly authorised representative for the purpose of performing its duties as a director.</w:t>
      </w:r>
    </w:p>
    <w:p>
      <w:pPr>
        <w:spacing w:after="0" w:line="158"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POWERS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General powers</w:t>
      </w:r>
    </w:p>
    <w:p>
      <w:pPr>
        <w:spacing w:after="0" w:line="229" w:lineRule="exact"/>
        <w:rPr>
          <w:sz w:val="20"/>
          <w:szCs w:val="20"/>
          <w:color w:val="auto"/>
        </w:rPr>
      </w:pPr>
    </w:p>
    <w:p>
      <w:pPr>
        <w:ind w:left="130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Company are to be managed by, or under the direction or supervision of, the directors. The directors have all the powers necessary for managing, directing and supervising, the business and affairs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powers of the Company that are not required by the Act, the applicable Listing Rules, the memorandum or these articles to be exercised by the shareholders.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may pass a resolution of shareholders directing the Company to take, or refrain from taking, any action. No resolution of shareholders will invalidate anything done by the directors before the resolution is passed.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powers given by this article are not limited by any special power given to the directors by any other article.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color w:val="auto"/>
        </w:rPr>
        <w:t>Sale of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175 (Disposition of assets) of the Act does not apply to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Borrowing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exercise all of the powers of the Company to:</w:t>
      </w:r>
    </w:p>
    <w:p>
      <w:pPr>
        <w:spacing w:after="0" w:line="225" w:lineRule="exact"/>
        <w:rPr>
          <w:sz w:val="20"/>
          <w:szCs w:val="20"/>
          <w:color w:val="auto"/>
        </w:rPr>
      </w:pPr>
    </w:p>
    <w:p>
      <w:pPr>
        <w:ind w:left="1300" w:hanging="644"/>
        <w:spacing w:after="0" w:line="282"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debt, liability or other obligation (including to give a guarantee, indemnity or other payment obligation in respect of the obligations of any person);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charge over its assets or undertaking (whether present or future) as security for any debt, liability or other obligation of the Company or any other person.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6" w:name="page167"/>
    <w:bookmarkEnd w:id="16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b w:val="1"/>
          <w:bCs w:val="1"/>
          <w:color w:val="auto"/>
        </w:rPr>
        <w:t>Cheques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All cheques, promissory notes, bills of exchange and other negotiable instruments, and all receipts for moneys paid to the Company, may be signed, drawn, accepted, endorsed or otherwise executed in any way approved by a resolution of directors.</w:t>
      </w:r>
    </w:p>
    <w:p>
      <w:pPr>
        <w:spacing w:after="0" w:line="158"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DELEGATION OF POWERS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ind w:left="1300" w:hanging="64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a resolution of directors: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their powers to any committee, consisting of one or more directors on any terms they think fit;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the committee or vary or revoke any of the committee’s powers, but no person dealing in good faith with the Company who does not have notice of the revocation or variation will be affected by 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may consist of members who are not directors, however, a majority of the members of the committee must be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cannot delegate to a committee the power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memorandum or these articles;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committee other than a sub-committee of 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powers to another committee other than a sub-committee of 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a director or agent;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plan of merger, consolidation or arrangement;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declaration of solvency or approve a liquidation plan;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determination that the Company will, immediately after a proposed distribution, satisfy the solvency test.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its terms of reference state otherwise, a committee has power to establish a sub-committee and to sub-delegate any of its powers to the sub-committee or any other person.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exercising its powers, a committee must adhere to any directions given to it, or limitations imposed on it, by the directors.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committee has more than one member, the provisions in these articles relating to meetings and proceedings of the directors and written resolutions of directors apply to it except to the extent that its terms of reference state otherwise.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7" w:name="page168"/>
    <w:bookmarkEnd w:id="167"/>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color w:val="auto"/>
        </w:rPr>
        <w:t>Nominating Committee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Committee shall be established and operated in accordance with the Nominating Committee Charter.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a resolution of directors appoint any person to hold any office with the Company (including chairman of directors, chief executive officer, vice-president, secretary and treasurer) on any terms, and for any period, they think fit. A person may hold more than one office at the same time.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a resolution of directors: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on any officer any of their powers, on any terms and with any restrictions, they think fit;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withdraw or vary an officer’s powers or remove an officer but:</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dealing in good faith with the Company who does not have notice of the revocation, withdrawal, variation or removal will be affected by it; and</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removal of the officer will be without prejudice to any claim for damages for breach of any contract of service between the officer and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officer’s duties are not set out in the resolution of directors appointing the officer, any subsequent resolution of directors or a contract of service between the officer and the Company, it will be the duty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chairman of directors to chair meetings of directors and shareholders;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chief executive officer to manage the day to day affairs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vice-president to:</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if there is more than one vice-president, the longest holding office to act) in the absence of the chief executive officer;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the duties delegated to the vice-president by the chief executive officer;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 to:</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cause to be maintained) the Company’s statutory registers, minute books and other records (other than financial records);</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duties which these articles state are to be performed by a secretary; and</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memorandum and these articles are complied with and that the Company complies with all procedural requirements imposed on it by applicable law;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treasurer to be responsible for the financial affairs of the Company.</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may be paid (in addition, if applicable, to any fees as a director) any remuneration (whether by way of salary, commission, participation in profits or otherwise) the directors decide by a resolution of directors.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color w:val="auto"/>
        </w:rPr>
        <w:t>Agents</w:t>
      </w:r>
    </w:p>
    <w:p>
      <w:pPr>
        <w:spacing w:after="0" w:line="229" w:lineRule="exact"/>
        <w:rPr>
          <w:sz w:val="20"/>
          <w:szCs w:val="20"/>
          <w:color w:val="auto"/>
        </w:rPr>
      </w:pPr>
    </w:p>
    <w:p>
      <w:pPr>
        <w:ind w:left="1300" w:hanging="644"/>
        <w:spacing w:after="0"/>
        <w:tabs>
          <w:tab w:leader="none" w:pos="13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a resolution of directors: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person (including a director) to be an agent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their powers (by power of attorney or in any other way) to an agent of the Company on any terms they think fit;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any agent or vary or revoke any of the agent’s powers, but no person dealing in good faith with the agent who does not have notice of the revocation or variation will be affected by 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cannot delegate to an agent the power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memorandum or these articles;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Company’s registered office or registered agent;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committee;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powers to a committee;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any director or agent other than a substitute or sub-delegate;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of any director;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plan of merger, consolidation or arrangement;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declaration of solvency or approve a liquidation plan;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determination that the Company will, immediately after a proposed distribution, satisfy the solvency test;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the Company to continue as a body corporate incorporated under the laws of a jurisdiction outside of the British Virgin Islands.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agent’s terms of appointment state otherwise, an agent has power to appoint a substitute or sub-delegate.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INTERESTS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Directors may have interests</w:t>
      </w:r>
    </w:p>
    <w:p>
      <w:pPr>
        <w:spacing w:after="0" w:line="229" w:lineRule="exact"/>
        <w:rPr>
          <w:sz w:val="20"/>
          <w:szCs w:val="20"/>
          <w:color w:val="auto"/>
        </w:rPr>
      </w:pPr>
    </w:p>
    <w:p>
      <w:pPr>
        <w:ind w:left="1300" w:hanging="644"/>
        <w:spacing w:after="0" w:line="282" w:lineRule="auto"/>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or any other applicable legislation, if a director has disclosed the director’s interest in accordance with these articles and the applicable Listing Rules, the director may: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or otherwise interested in, any transaction with the Company or in which the Company is directly or indirectly interested;</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9" w:name="page170"/>
    <w:bookmarkEnd w:id="169"/>
    <w:p>
      <w:pPr>
        <w:ind w:left="1960" w:right="20" w:hanging="656"/>
        <w:spacing w:after="0" w:line="282" w:lineRule="auto"/>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other office or place of profit with the Company (other than the office of auditor) in addition to the director’s office of director on any terms (including as to tenure and remuneration or reward) the directors decide by a resolution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for the Company in a professional capacity other than as auditor (either personally or through a partnership, body corporate or other person in which the director is interested) on any terms (including as to remuneration or reward) the directors decide by a resolution of directors;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director or other officer of, or employed by, or a party to any transaction with, or otherwise interested in, any subsidiary of the Company or any body corporate or other person in which the Company is directly or indirectly interested.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is not, by reason of holding office as a director or the fiduciary relationship created by it, accountable to the Company for any remuneration, profit or other benefit derived, or resulting, from any interest permitted by paragraph (a) above.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permitted by paragraph (a) above is liable to be avoided on the grounds that a director has an interest in it or derives any remuneration, profit or other benefit from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Voting and quorum</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Where a director is interested in a transaction entered into, or to be entered into by, the Company, if the director has disclosed the interest in accordance with these articles, the director may:</w:t>
      </w:r>
    </w:p>
    <w:p>
      <w:pPr>
        <w:spacing w:after="0" w:line="162" w:lineRule="exact"/>
        <w:rPr>
          <w:sz w:val="20"/>
          <w:szCs w:val="20"/>
          <w:color w:val="auto"/>
        </w:rPr>
      </w:pPr>
    </w:p>
    <w:p>
      <w:pPr>
        <w:ind w:left="1300" w:hanging="644"/>
        <w:spacing w:after="0"/>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be included in the quorum for, any meeting of directors at which any matter relating to the transaction is considered;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any matter relating to the transaction (including by signing or consenting to any written resolution of directors); and</w:t>
      </w:r>
    </w:p>
    <w:p>
      <w:pPr>
        <w:spacing w:after="0" w:line="225" w:lineRule="exact"/>
        <w:rPr>
          <w:rFonts w:ascii="Times New Roman" w:cs="Times New Roman" w:eastAsia="Times New Roman" w:hAnsi="Times New Roman"/>
          <w:sz w:val="18"/>
          <w:szCs w:val="18"/>
          <w:color w:val="auto"/>
        </w:rPr>
      </w:pPr>
    </w:p>
    <w:p>
      <w:pPr>
        <w:ind w:right="300" w:firstLine="656"/>
        <w:spacing w:after="0" w:line="500" w:lineRule="auto"/>
        <w:tabs>
          <w:tab w:leader="none" w:pos="129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 a document on behalf of the Company, or do any other thing in the director’s capacity as a director, that relates to the transaction. 15.3 </w:t>
      </w:r>
      <w:r>
        <w:rPr>
          <w:rFonts w:ascii="Times New Roman" w:cs="Times New Roman" w:eastAsia="Times New Roman" w:hAnsi="Times New Roman"/>
          <w:sz w:val="18"/>
          <w:szCs w:val="18"/>
          <w:b w:val="1"/>
          <w:bCs w:val="1"/>
          <w:color w:val="auto"/>
        </w:rPr>
        <w:t>Declaration of interests</w:t>
      </w:r>
    </w:p>
    <w:p>
      <w:pPr>
        <w:spacing w:after="0" w:line="2" w:lineRule="exact"/>
        <w:rPr>
          <w:sz w:val="20"/>
          <w:szCs w:val="20"/>
          <w:color w:val="auto"/>
        </w:rPr>
      </w:pPr>
    </w:p>
    <w:p>
      <w:pPr>
        <w:ind w:left="1300" w:hanging="644"/>
        <w:spacing w:after="0" w:line="282"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 applicable Listing Rules, a director must, immediately after becoming aware of the fact that the director is interested in a transaction entered into, or to be entered into, by the Company, disclose the interest to all of the other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these articles, a disclosure by a director to all of the other directors to the effect that the director is: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director, officer or trustee of another body corporate or other person;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regarded as interested in any transaction which may, after the date of disclosure, be entered into with that body corporate or other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 sufficient disclosure of the director’s interest in that transaction.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0" w:name="page171"/>
    <w:bookmarkEnd w:id="170"/>
    <w:p>
      <w:pPr>
        <w:ind w:left="660" w:hanging="652"/>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MEETINGS AND WRITTEN RESOLUTIONS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b w:val="1"/>
          <w:bCs w:val="1"/>
          <w:color w:val="auto"/>
        </w:rPr>
        <w:t>Calling meetings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director may, and (if a secretary has been appointed and is requested to do so by a director) the secretary must, call a meeting of directors.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b w:val="1"/>
          <w:bCs w:val="1"/>
          <w:color w:val="auto"/>
        </w:rPr>
        <w:t>Time and place</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 meeting of directors may be held at any time and any place (whether within or outside the British Virgin Islands) the person calling the meeting decides.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b w:val="1"/>
          <w:bCs w:val="1"/>
          <w:color w:val="auto"/>
        </w:rPr>
        <w:t>Length and form of notice</w:t>
      </w:r>
    </w:p>
    <w:p>
      <w:pPr>
        <w:spacing w:after="0" w:line="229" w:lineRule="exact"/>
        <w:rPr>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24 hours’ notice of each meeting of directors must be given to each director and alternate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meeting of directors must indicate: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place of the meeting;</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anticipated that not all directors will participate in the meeting from the same place) the means by which they will communicate with each other during the meeting;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nature of the business to be conducted.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decide otherwise by a resolution of directors, notice of a meeting of directors need not be given in writing.</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b w:val="1"/>
          <w:bCs w:val="1"/>
          <w:color w:val="auto"/>
        </w:rPr>
        <w:t>Waiver and failure to give notice</w:t>
      </w:r>
    </w:p>
    <w:p>
      <w:pPr>
        <w:spacing w:after="0" w:line="229" w:lineRule="exact"/>
        <w:rPr>
          <w:sz w:val="20"/>
          <w:szCs w:val="20"/>
          <w:color w:val="auto"/>
        </w:rPr>
      </w:pPr>
    </w:p>
    <w:p>
      <w:pPr>
        <w:ind w:left="1300" w:hanging="644"/>
        <w:spacing w:after="0"/>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(either generally or in any specific case):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 meeting of directors being held on short notice;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notice of a meeting of directors either before or after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 participates in a meeting of directors, the director is taken to have consented to the meeting being held at short notice or waived notice of the meeting unless the director indicates otherwise in writing before or at the meeting.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waiver given after a meeting of directors has been held does not affect the validity of the meeting or of any business conducted at it.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directors will be valid even if the person who calls the meeting inadvertently fails to give notice of the meeting to a director or a director does not receive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b w:val="1"/>
          <w:bCs w:val="1"/>
          <w:color w:val="auto"/>
        </w:rPr>
        <w:t>Quorum</w:t>
      </w:r>
    </w:p>
    <w:p>
      <w:pPr>
        <w:spacing w:after="0" w:line="229" w:lineRule="exact"/>
        <w:rPr>
          <w:sz w:val="20"/>
          <w:szCs w:val="20"/>
          <w:color w:val="auto"/>
        </w:rPr>
      </w:pPr>
    </w:p>
    <w:p>
      <w:pPr>
        <w:ind w:left="1300" w:hanging="644"/>
        <w:spacing w:after="0"/>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directors at which a quorum is present may exercise any power of the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decide by a resolution of directors the quorum necessary for the conduct of business at a meeting of directors.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ind w:left="1300" w:right="20" w:hanging="644"/>
        <w:spacing w:after="0" w:line="282"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decide otherwise by a resolution of directors, a quorum will be present at a meeting of directors if more than one half of the total number of directors is present. If the Company only has: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a quorum is present if two directors are present;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sole director, a quorum is present if the sole director is present.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 an alternate director will count towards the quorum for a meeting of directors in the absence of the alternate’s appointor, but where the Company has two or more directors, a quorum will not be present unless at least two individuals are present.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b w:val="1"/>
          <w:bCs w:val="1"/>
          <w:color w:val="auto"/>
        </w:rPr>
        <w:t>Chairman</w:t>
      </w:r>
    </w:p>
    <w:p>
      <w:pPr>
        <w:spacing w:after="0" w:line="229" w:lineRule="exact"/>
        <w:rPr>
          <w:sz w:val="20"/>
          <w:szCs w:val="20"/>
          <w:color w:val="auto"/>
        </w:rPr>
      </w:pPr>
    </w:p>
    <w:p>
      <w:pPr>
        <w:ind w:left="1300" w:hanging="644"/>
        <w:spacing w:after="0" w:line="282" w:lineRule="auto"/>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elect, and remove, a chairman of directors to hold office for any period they decide by a resolution of directors. The chairman must be a director.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is to chair all meetings of directors at which the chairman is present unless the chairman asks another director to chair it. If the directors have not elected a chairman, or the chairman is not present within 15 minutes of the time set for the start of the meeting, the directors present at the meeting must choose from among themselves a chairman for the meeting.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7"/>
          <w:szCs w:val="17"/>
          <w:b w:val="1"/>
          <w:bCs w:val="1"/>
          <w:color w:val="auto"/>
        </w:rPr>
        <w:t>Voting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resolution put to a vote at a meeting of directors, will be passed and become a resolution of directors if the necessary number of votes is cast in favour of the resolution.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b w:val="1"/>
          <w:bCs w:val="1"/>
          <w:color w:val="auto"/>
        </w:rPr>
        <w:t>Participation by electronic means</w:t>
      </w:r>
    </w:p>
    <w:p>
      <w:pPr>
        <w:spacing w:after="0" w:line="229" w:lineRule="exact"/>
        <w:rPr>
          <w:sz w:val="20"/>
          <w:szCs w:val="20"/>
          <w:color w:val="auto"/>
        </w:rPr>
      </w:pPr>
    </w:p>
    <w:p>
      <w:pPr>
        <w:ind w:left="1300" w:hanging="644"/>
        <w:spacing w:after="0"/>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is taken to be present at a meeting of directors 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participates in the meeting by telephone or other electronic means;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participating in the meeting are able to hear each other.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one or more directors participate in a meeting of directors by telephone or other electronic means, the meeting is taken to be held at the place where: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is located;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director participating in the meeting is located if the directors agree to do this.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b w:val="1"/>
          <w:bCs w:val="1"/>
          <w:color w:val="auto"/>
        </w:rPr>
        <w:t>Written resolutions of directors</w:t>
      </w:r>
    </w:p>
    <w:p>
      <w:pPr>
        <w:spacing w:after="0" w:line="229" w:lineRule="exact"/>
        <w:rPr>
          <w:sz w:val="20"/>
          <w:szCs w:val="20"/>
          <w:color w:val="auto"/>
        </w:rPr>
      </w:pPr>
    </w:p>
    <w:p>
      <w:pPr>
        <w:ind w:left="1300" w:hanging="644"/>
        <w:spacing w:after="0" w:line="282" w:lineRule="auto"/>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that may be taken by the directors at a meeting of directors may also be taken by the directors passing a written resolution of directors without the need for any prior notice to be given.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resolution of directors: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consist of several documents (including electronic communications) in substantially the same form;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sent to each director.</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2" w:name="page173"/>
    <w:bookmarkEnd w:id="172"/>
    <w:p>
      <w:pPr>
        <w:ind w:left="1300" w:hanging="644"/>
        <w:spacing w:after="0" w:line="282"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written resolution of directors is passed without all of the directors signing or consenting to it, the Company must send a copy of it to those directors who have not signed or consented to it. If the Company fails to do so, this will not invalidate the resolution.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sole director, the sole director may pass a written resolution of directors.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b w:val="1"/>
          <w:bCs w:val="1"/>
          <w:color w:val="auto"/>
        </w:rPr>
        <w:t>Defects in appointments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acts done in good faith by a meeting of directors or any committee or by any person acting as a director will be valid and effective, even if it is afterwards discovered that:</w:t>
      </w:r>
    </w:p>
    <w:p>
      <w:pPr>
        <w:spacing w:after="0" w:line="162" w:lineRule="exact"/>
        <w:rPr>
          <w:sz w:val="20"/>
          <w:szCs w:val="20"/>
          <w:color w:val="auto"/>
        </w:rPr>
      </w:pPr>
    </w:p>
    <w:p>
      <w:pPr>
        <w:ind w:left="1300" w:hanging="644"/>
        <w:spacing w:after="0"/>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defect in the appointment of any person as a director or member of the committee;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was disqualified from being a director, had vacated office or was not entitled to vote.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AND INSURANCE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229" w:lineRule="exact"/>
        <w:rPr>
          <w:sz w:val="20"/>
          <w:szCs w:val="20"/>
          <w:color w:val="auto"/>
        </w:rPr>
      </w:pPr>
    </w:p>
    <w:p>
      <w:pPr>
        <w:ind w:left="1300" w:hanging="644"/>
        <w:spacing w:after="0"/>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 applicable Listing Rules, the Company must indemnify any person who:</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threatened, pending or completed proceedings, whether civil, criminal, administrative or investigative, by reason of the fact that the person is or was a director or officer of the Company;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at the request of the Company, serving as a director or officer of, or in any other capacity is or was acting for, another body corporate or a partnership, joint venture, trust or other enterprise,</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against any expenses, judgments, fines or amounts paid in settlement and reasonably incurred in connection with any legal, administrative or investigative proceedings.</w:t>
      </w:r>
    </w:p>
    <w:p>
      <w:pPr>
        <w:spacing w:after="0" w:line="162" w:lineRule="exact"/>
        <w:rPr>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 applicable Listing Rules, the Company may, in relation to any person referred to in paragraph (a) above: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on behalf of the person: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funds to the person to enable the person to pay,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any expenses incurred, or to be incurred, by the person in defending any legal, administrative or investigative proceedings.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Act and the applicable Listing Rules, the Company may purchase and maintain insurance in relation to any person who:</w:t>
      </w:r>
    </w:p>
    <w:p>
      <w:pPr>
        <w:spacing w:after="0" w:line="225" w:lineRule="exact"/>
        <w:rPr>
          <w:sz w:val="20"/>
          <w:szCs w:val="20"/>
          <w:color w:val="auto"/>
        </w:rPr>
      </w:pPr>
    </w:p>
    <w:p>
      <w:pPr>
        <w:ind w:left="1300" w:hanging="644"/>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or officer of the Company; or</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3" w:name="page174"/>
    <w:bookmarkEnd w:id="173"/>
    <w:p>
      <w:pPr>
        <w:ind w:left="13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 is or was serving as a director or officer of, or in any other capacity is or was acting for, another body corporate or a partnership, joint venture, trust or other enterprise,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against any liability asserted against the person and incurred by the person in that capacity.</w:t>
      </w:r>
    </w:p>
    <w:p>
      <w:pPr>
        <w:spacing w:after="0" w:line="221" w:lineRule="exact"/>
        <w:rPr>
          <w:sz w:val="20"/>
          <w:szCs w:val="20"/>
          <w:color w:val="auto"/>
        </w:rPr>
      </w:pPr>
    </w:p>
    <w:p>
      <w:pPr>
        <w:ind w:left="660" w:hanging="652"/>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RECORDS, UNDERLYING DOCUMENTATION AND REGISTERS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b w:val="1"/>
          <w:bCs w:val="1"/>
          <w:color w:val="auto"/>
        </w:rPr>
        <w:t>Records and underlying documentation</w:t>
      </w:r>
    </w:p>
    <w:p>
      <w:pPr>
        <w:spacing w:after="0" w:line="229" w:lineRule="exact"/>
        <w:rPr>
          <w:sz w:val="20"/>
          <w:szCs w:val="20"/>
          <w:color w:val="auto"/>
        </w:rPr>
      </w:pPr>
    </w:p>
    <w:p>
      <w:pPr>
        <w:ind w:left="1300" w:hanging="644"/>
        <w:spacing w:after="0"/>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keep records and underlying documentation in a form that: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sufficient to show and explain the Company’s transactions;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at any time, enable the financial position of the Company to be determined with reasonable accuracy;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applicable Listing Rules.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and underlying documentation, registers, minutes and resolutions kept by the Company under this article 18 shall be in written form or either wholly or partly as electronic records complying with the requirements of the Electronic Transactions Act.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retain its records and underlying documentation for any period specified in the Act or any other applicable legislation, including but not limited to, the applicable Listing Rules.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does not keep any record or underlying documentation at the office of its registered agent, the Company must give its registered agent written notice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address of the place where the record or underlying documentation is kept;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person who keeps and controls the record or underlying documentation;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that physical address or the person within 14 days of the change.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b w:val="1"/>
          <w:bCs w:val="1"/>
          <w:color w:val="auto"/>
        </w:rPr>
        <w:t>Registers</w:t>
      </w:r>
    </w:p>
    <w:p>
      <w:pPr>
        <w:spacing w:after="0" w:line="229" w:lineRule="exact"/>
        <w:rPr>
          <w:sz w:val="20"/>
          <w:szCs w:val="20"/>
          <w:color w:val="auto"/>
        </w:rPr>
      </w:pPr>
    </w:p>
    <w:p>
      <w:pPr>
        <w:ind w:left="1300" w:hanging="644"/>
        <w:spacing w:after="0"/>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maintain the following registers in accordance with the Act: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shareholders;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 of directors;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 of charges.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does not keep any register referred to in paragraph (a) above at the office of its registered agent, the Company must give its registered agent written notice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register within 15 days of the change: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at which the register is kept;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location at which the register is kept within 14 days of the change.</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4" w:name="page175"/>
    <w:bookmarkEnd w:id="174"/>
    <w:p>
      <w:pPr>
        <w:jc w:val="both"/>
        <w:ind w:left="1300" w:right="20" w:hanging="644"/>
        <w:spacing w:after="0" w:line="266"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Act, the register of shareholders may be in any such form as the directors may approve, but if it is in electronic form the Company must be able to produce legible evidence of its content and until the directors determine otherwise, the electronic form shall be the original register of shareholders.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b w:val="1"/>
          <w:bCs w:val="1"/>
          <w:color w:val="auto"/>
        </w:rPr>
        <w:t>Minutes and written resolutions</w:t>
      </w:r>
    </w:p>
    <w:p>
      <w:pPr>
        <w:spacing w:after="0" w:line="225" w:lineRule="exact"/>
        <w:rPr>
          <w:sz w:val="20"/>
          <w:szCs w:val="20"/>
          <w:color w:val="auto"/>
        </w:rPr>
      </w:pPr>
    </w:p>
    <w:p>
      <w:pPr>
        <w:ind w:left="1300" w:hanging="644"/>
        <w:spacing w:after="0"/>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must ensure that the following documents (together, </w:t>
      </w:r>
      <w:r>
        <w:rPr>
          <w:rFonts w:ascii="Times New Roman" w:cs="Times New Roman" w:eastAsia="Times New Roman" w:hAnsi="Times New Roman"/>
          <w:sz w:val="18"/>
          <w:szCs w:val="18"/>
          <w:b w:val="1"/>
          <w:bCs w:val="1"/>
          <w:color w:val="auto"/>
        </w:rPr>
        <w:t>Company Decisions</w:t>
      </w:r>
      <w:r>
        <w:rPr>
          <w:rFonts w:ascii="Times New Roman" w:cs="Times New Roman" w:eastAsia="Times New Roman" w:hAnsi="Times New Roman"/>
          <w:sz w:val="18"/>
          <w:szCs w:val="18"/>
          <w:color w:val="auto"/>
        </w:rPr>
        <w:t>) are entered in books kept for the purpose:</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all meetings of shareholders or any class of shareholders;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written resolutions of shareholders or any class of shareholders;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all meetings of directors or any committee;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written resolutions of directors or any committee.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any meeting that are signed by the chairman of the meeting, are sufficient evidence of the proceedings at the meeting and the decisions taken at it.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keep all Company Decisions at the office of its registered agent or any other place the directors decide by a resolution of directors.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does not keep Company Decisions or any type of Company Decisions at the office of its registered agent, the Company must give its registered agent written notice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location(s) at which those Company Decisions are kept;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location(s) at which those Company Decisions are kept within 14 days of the change.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b w:val="1"/>
          <w:bCs w:val="1"/>
          <w:color w:val="auto"/>
        </w:rPr>
        <w:t>Registered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Act and these articles, the Company must keep the following things at the office of its registered agent:</w:t>
      </w:r>
    </w:p>
    <w:p>
      <w:pPr>
        <w:spacing w:after="0" w:line="225" w:lineRule="exact"/>
        <w:rPr>
          <w:sz w:val="20"/>
          <w:szCs w:val="20"/>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these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shareholders or a copy of it;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register of directors or a copy of it;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register of charges or a copy of it;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imprint of each common seal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notice or other document filed by the Company with the registrar in the previous 10 years;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Decision or a copy of it.</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5" w:name="page176"/>
    <w:bookmarkEnd w:id="175"/>
    <w:p>
      <w:pPr>
        <w:ind w:left="660" w:hanging="652"/>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COMMON SEAL</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b w:val="1"/>
          <w:bCs w:val="1"/>
          <w:color w:val="auto"/>
        </w:rPr>
        <w:t>Common seal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have more than one common seal.</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b w:val="1"/>
          <w:bCs w:val="1"/>
          <w:color w:val="auto"/>
        </w:rPr>
        <w:t>Authorisation</w:t>
      </w:r>
    </w:p>
    <w:p>
      <w:pPr>
        <w:spacing w:after="0" w:line="229" w:lineRule="exact"/>
        <w:rPr>
          <w:sz w:val="20"/>
          <w:szCs w:val="20"/>
          <w:color w:val="auto"/>
        </w:rPr>
      </w:pPr>
    </w:p>
    <w:p>
      <w:pPr>
        <w:ind w:left="1300" w:hanging="644"/>
        <w:spacing w:after="0"/>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seal may only be used with the authorisation of a resolution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authorisation may: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given before or after a common seal is affixed to a document;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general or specific;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 common seal to be affixed on any number of occasions.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b w:val="1"/>
          <w:bCs w:val="1"/>
          <w:color w:val="auto"/>
        </w:rPr>
        <w:t>Application</w:t>
      </w:r>
    </w:p>
    <w:p>
      <w:pPr>
        <w:spacing w:after="0" w:line="229" w:lineRule="exact"/>
        <w:rPr>
          <w:sz w:val="20"/>
          <w:szCs w:val="20"/>
          <w:color w:val="auto"/>
        </w:rPr>
      </w:pPr>
    </w:p>
    <w:p>
      <w:pPr>
        <w:ind w:left="1300" w:hanging="644"/>
        <w:spacing w:after="0" w:line="282" w:lineRule="auto"/>
        <w:tabs>
          <w:tab w:leader="none" w:pos="130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stated otherwise in these articles, where a common seal is affixed to a document, it must be witnessed by the signature of a director or some other person authorised by a resolution of directors for this purpose.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decide by a resolution of directors (either generally or in any specific case) that a facsimile of a common seal or the signature of any witness may be reproduced on any document by some mechanical or other means or by printing. This has the same effect as if the common seal and any signature were originals.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b w:val="1"/>
          <w:bCs w:val="1"/>
          <w:color w:val="auto"/>
        </w:rPr>
        <w:t>Power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Act, any rights attaching to any class of shares and these articles, the directors may by a resolution of directors:</w:t>
      </w:r>
    </w:p>
    <w:p>
      <w:pPr>
        <w:spacing w:after="0" w:line="225" w:lineRule="exact"/>
        <w:rPr>
          <w:sz w:val="20"/>
          <w:szCs w:val="20"/>
          <w:color w:val="auto"/>
        </w:rPr>
      </w:pPr>
    </w:p>
    <w:p>
      <w:pPr>
        <w:ind w:left="1300" w:hanging="644"/>
        <w:spacing w:after="0"/>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distribution at any time and in any amount they think fit;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record date (which may be before or after the date on which the resolution of directors is passed) for determining the shareholders entitled to be paid the distribution.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b w:val="1"/>
          <w:bCs w:val="1"/>
          <w:color w:val="auto"/>
        </w:rPr>
        <w:t>Solvency test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directors may only authorise a distribution if they are satisfied (on reasonable grounds) that the Company will satisfy the solvency test immediately after the distribution is paid.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7"/>
          <w:szCs w:val="17"/>
          <w:b w:val="1"/>
          <w:bCs w:val="1"/>
          <w:color w:val="auto"/>
        </w:rPr>
        <w:t>Apportionment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any rights attaching to any class of shares, a distribution is payable on each share in the proportion which the amount paid on the share is to its issue price.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7"/>
          <w:szCs w:val="17"/>
          <w:b w:val="1"/>
          <w:bCs w:val="1"/>
          <w:color w:val="auto"/>
        </w:rPr>
        <w:t>Form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distribution may be paid in money, shares or other property.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6" w:name="page177"/>
    <w:bookmarkEnd w:id="176"/>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b w:val="1"/>
          <w:bCs w:val="1"/>
          <w:color w:val="auto"/>
        </w:rPr>
        <w:t>Payment</w:t>
      </w:r>
    </w:p>
    <w:p>
      <w:pPr>
        <w:spacing w:after="0" w:line="229" w:lineRule="exact"/>
        <w:rPr>
          <w:sz w:val="20"/>
          <w:szCs w:val="20"/>
          <w:color w:val="auto"/>
        </w:rPr>
      </w:pPr>
    </w:p>
    <w:p>
      <w:pPr>
        <w:ind w:left="1300" w:hanging="644"/>
        <w:spacing w:after="0" w:line="282" w:lineRule="auto"/>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may be paid to a shareholder (or any person nominated by the shareholder) by cheque, electronic funds transfer or any other means approved by a resolution of directors.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decide otherwise by a resolution of directors, a cheque is to be sent by post at the risk of the shareholder to the address of the shareholder recorded in the register of shareholders or any other address the shareholder notifies the Company for this purpose.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will only be paid by electronic funds transfer to an account notified to the Company by the shareholder for this purpose prior to the payment date for the distribution.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under this article will be a good discharge to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7"/>
          <w:szCs w:val="17"/>
          <w:b w:val="1"/>
          <w:bCs w:val="1"/>
          <w:color w:val="auto"/>
        </w:rPr>
        <w:t>Notice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must notify each shareholder of any distribution authorised by them.</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7"/>
          <w:szCs w:val="17"/>
          <w:b w:val="1"/>
          <w:bCs w:val="1"/>
          <w:color w:val="auto"/>
        </w:rPr>
        <w:t>No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interest accrues on any distribution.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7"/>
          <w:szCs w:val="17"/>
          <w:b w:val="1"/>
          <w:bCs w:val="1"/>
          <w:color w:val="auto"/>
        </w:rPr>
        <w:t>Treasury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distribution may be paid on any treasury shares.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8"/>
          <w:szCs w:val="18"/>
          <w:b w:val="1"/>
          <w:bCs w:val="1"/>
          <w:color w:val="auto"/>
        </w:rPr>
        <w:t>Deduction of unpaid amounts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directors may apply any part of a distribution otherwise payable to a shareholder towards payment of any sum currently payable by the shareholder to the Company in respect of the shareholder’s shares whether on account of calls or otherwise.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20.10</w:t>
      </w:r>
      <w:r>
        <w:rPr>
          <w:sz w:val="20"/>
          <w:szCs w:val="20"/>
          <w:color w:val="auto"/>
        </w:rPr>
        <w:tab/>
      </w:r>
      <w:r>
        <w:rPr>
          <w:rFonts w:ascii="Times New Roman" w:cs="Times New Roman" w:eastAsia="Times New Roman" w:hAnsi="Times New Roman"/>
          <w:sz w:val="17"/>
          <w:szCs w:val="17"/>
          <w:b w:val="1"/>
          <w:bCs w:val="1"/>
          <w:color w:val="auto"/>
        </w:rPr>
        <w:t>Forfeiture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 shareholder fails to claim any distribution for three years after the date on which it was authorised by the directors, the directors may decide by a resolution of directors that the distribution is forfeited for the benefit of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20.11</w:t>
      </w:r>
      <w:r>
        <w:rPr>
          <w:sz w:val="20"/>
          <w:szCs w:val="20"/>
          <w:color w:val="auto"/>
        </w:rPr>
        <w:tab/>
      </w:r>
      <w:r>
        <w:rPr>
          <w:rFonts w:ascii="Times New Roman" w:cs="Times New Roman" w:eastAsia="Times New Roman" w:hAnsi="Times New Roman"/>
          <w:sz w:val="18"/>
          <w:szCs w:val="18"/>
          <w:b w:val="1"/>
          <w:bCs w:val="1"/>
          <w:color w:val="auto"/>
        </w:rPr>
        <w:t>Entitled persons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article applies to an entitled person in the same way it applies to a shareholder.</w:t>
      </w:r>
    </w:p>
    <w:p>
      <w:pPr>
        <w:spacing w:after="0" w:line="221" w:lineRule="exact"/>
        <w:rPr>
          <w:sz w:val="20"/>
          <w:szCs w:val="20"/>
          <w:color w:val="auto"/>
        </w:rPr>
      </w:pPr>
    </w:p>
    <w:p>
      <w:pPr>
        <w:ind w:left="660" w:hanging="652"/>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 AND AUDIT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300" w:hanging="644"/>
        <w:spacing w:after="0" w:line="282"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decide by a resolution of directors to, and must if required to do so by a resolution of shareholders, prepare financial statements for any financial period of the Company.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ind w:left="1300" w:hanging="644"/>
        <w:spacing w:after="0" w:line="282" w:lineRule="auto"/>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prepared in accordance with these articles must give a true and fair view of, or be presented fairly in all materials respects so as to show, the Company’s:</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or loss for the relevant financial period;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at the end of that financial period.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color w:val="auto"/>
        </w:rPr>
        <w:t>Appointment of auditor</w:t>
      </w:r>
    </w:p>
    <w:p>
      <w:pPr>
        <w:spacing w:after="0" w:line="229" w:lineRule="exact"/>
        <w:rPr>
          <w:sz w:val="20"/>
          <w:szCs w:val="20"/>
          <w:color w:val="auto"/>
        </w:rPr>
      </w:pPr>
    </w:p>
    <w:p>
      <w:pPr>
        <w:ind w:left="1300" w:hanging="64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from time to time shall be appointed by a resolution of directors,.</w:t>
      </w:r>
    </w:p>
    <w:p>
      <w:pPr>
        <w:spacing w:after="0" w:line="225" w:lineRule="exact"/>
        <w:rPr>
          <w:rFonts w:ascii="Times New Roman" w:cs="Times New Roman" w:eastAsia="Times New Roman" w:hAnsi="Times New Roman"/>
          <w:sz w:val="18"/>
          <w:szCs w:val="18"/>
          <w:color w:val="auto"/>
        </w:rPr>
      </w:pPr>
    </w:p>
    <w:p>
      <w:pPr>
        <w:ind w:right="1360" w:firstLine="656"/>
        <w:spacing w:after="0" w:line="500" w:lineRule="auto"/>
        <w:tabs>
          <w:tab w:leader="none" w:pos="129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shareholder may be appointed as auditor, but no director or other officer may be appointed as auditor while in office. 21.3 </w:t>
      </w:r>
      <w:r>
        <w:rPr>
          <w:rFonts w:ascii="Times New Roman" w:cs="Times New Roman" w:eastAsia="Times New Roman" w:hAnsi="Times New Roman"/>
          <w:sz w:val="18"/>
          <w:szCs w:val="18"/>
          <w:b w:val="1"/>
          <w:bCs w:val="1"/>
          <w:color w:val="auto"/>
        </w:rPr>
        <w:t>Remuneration of auditor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remuneration of the auditor is to be fixed by a resolution of directors.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b w:val="1"/>
          <w:bCs w:val="1"/>
          <w:color w:val="auto"/>
        </w:rPr>
        <w:t>Powers of auditor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auditor:</w:t>
      </w:r>
    </w:p>
    <w:p>
      <w:pPr>
        <w:spacing w:after="0" w:line="225" w:lineRule="exact"/>
        <w:rPr>
          <w:sz w:val="20"/>
          <w:szCs w:val="20"/>
          <w:color w:val="auto"/>
        </w:rPr>
      </w:pPr>
    </w:p>
    <w:p>
      <w:pPr>
        <w:ind w:left="1300" w:hanging="644"/>
        <w:spacing w:after="0"/>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right to access the books and records of the Company at all reasonable times;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the directors and officers of the Company to provide the auditor with any information and explanations the auditor thinks necessary for the performance of the auditor’s duties.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COMMUNICATIONS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b w:val="1"/>
          <w:bCs w:val="1"/>
          <w:color w:val="auto"/>
        </w:rPr>
        <w:t>In writing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Except for notice of a meeting of directors or a committee, any document or information to be sent or supplied to or by any person in accordance with these articles must be in writing.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b w:val="1"/>
          <w:bCs w:val="1"/>
          <w:color w:val="auto"/>
        </w:rPr>
        <w:t>From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information or written statement to be given by the Company to a shareholder:</w:t>
      </w:r>
    </w:p>
    <w:p>
      <w:pPr>
        <w:spacing w:after="0" w:line="225" w:lineRule="exact"/>
        <w:rPr>
          <w:sz w:val="20"/>
          <w:szCs w:val="20"/>
          <w:color w:val="auto"/>
        </w:rPr>
      </w:pPr>
    </w:p>
    <w:p>
      <w:pPr>
        <w:ind w:left="1300" w:hanging="644"/>
        <w:spacing w:after="0" w:line="282" w:lineRule="auto"/>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in writing and may be given by personal service, registered mail, courier, email or fax to the address of the shareholder recorded in the register of shareholders or any other address or email address as notified by the shareholder to the Company for this purpose;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class of shares listed on a Designated Stock Exchange, may be given as permitted by and in accordance with the applicable Listing Rules.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b w:val="1"/>
          <w:bCs w:val="1"/>
          <w:color w:val="auto"/>
        </w:rPr>
        <w:t>To the Company</w:t>
      </w:r>
    </w:p>
    <w:p>
      <w:pPr>
        <w:spacing w:after="0" w:line="229" w:lineRule="exact"/>
        <w:rPr>
          <w:sz w:val="20"/>
          <w:szCs w:val="20"/>
          <w:color w:val="auto"/>
        </w:rPr>
      </w:pPr>
    </w:p>
    <w:p>
      <w:pPr>
        <w:ind w:left="1300" w:hanging="64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or information may only be sent or supplied to the Company in the English language.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these articles, a shareholder may send or supply any document or information to the Company by leaving it at, or by sending it by registered mail to, the Company’s registered office or the office of the Company’s registered agent.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8" w:name="page179"/>
    <w:bookmarkEnd w:id="178"/>
    <w:p>
      <w:pPr>
        <w:ind w:left="1300" w:hanging="644"/>
        <w:spacing w:after="0" w:line="282" w:lineRule="auto"/>
        <w:tabs>
          <w:tab w:leader="none" w:pos="13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send a proxy notice to the Company by way of email, to the email address provided in the relevant shareholder meeting notice.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either generally or in any specific case, agree that a shareholder may send or supply any document or information to the Company: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language other than English and may require a certified English translation which, in the event of any conflict, will prevail;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b w:val="1"/>
          <w:bCs w:val="1"/>
          <w:color w:val="auto"/>
        </w:rPr>
        <w:t>When received</w:t>
      </w:r>
    </w:p>
    <w:p>
      <w:pPr>
        <w:spacing w:after="0" w:line="229" w:lineRule="exact"/>
        <w:rPr>
          <w:sz w:val="20"/>
          <w:szCs w:val="20"/>
          <w:color w:val="auto"/>
        </w:rPr>
      </w:pPr>
    </w:p>
    <w:p>
      <w:pPr>
        <w:ind w:left="1300" w:hanging="644"/>
        <w:spacing w:after="0"/>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 a document or information is taken to be received: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supplied in person or left at an address) at the time it is supplied or left;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sent or supplied by registered mail) 7 days after being deposited in the post, postage prepaid, in a correctly addressed envelope;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sent or supplied by fax) when the transmission has been successfully completed;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sent or supplied by email) when the email has been sent.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in person or by proxy at any meeting of shareholders is, for all purposes, regarded as having received due notice of the meeting.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b w:val="1"/>
          <w:bCs w:val="1"/>
          <w:color w:val="auto"/>
        </w:rPr>
        <w:t>Notice binding on transferees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person who becomes entitled to a share (whether by operation of law, transfer or otherwise) is bound by any notice in respect of the share which, before the person’s name is entered in the register of shareholders, was given to the person from whom the person derives title.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b w:val="1"/>
          <w:bCs w:val="1"/>
          <w:color w:val="auto"/>
        </w:rPr>
        <w:t>Entitled persons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article applies to an entitled person in the same way it applies to a shareholder.</w:t>
      </w:r>
    </w:p>
    <w:p>
      <w:pPr>
        <w:spacing w:after="0" w:line="221"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VOLUNTARY LIQUIDATION</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shareholders may decide by a resolution of shareholders, or the directors may decide by a resolution of directors, to appoint a voluntary liquidator in respect of the Company.</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CONTINUATION</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shareholders may decide by a resolution of shareholders, or the directors may decide by a resolution of directors, to continue the Company as a body corporate incorporated under the laws of a jurisdiction outside the British Virgin Islands in the manner provided under those laws.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9" w:name="page180"/>
    <w:bookmarkEnd w:id="179"/>
    <w:p>
      <w:pPr>
        <w:jc w:val="both"/>
        <w:spacing w:after="0" w:line="266" w:lineRule="auto"/>
        <w:rPr>
          <w:sz w:val="20"/>
          <w:szCs w:val="20"/>
          <w:color w:val="auto"/>
        </w:rPr>
      </w:pPr>
      <w:r>
        <w:rPr>
          <w:rFonts w:ascii="Times New Roman" w:cs="Times New Roman" w:eastAsia="Times New Roman" w:hAnsi="Times New Roman"/>
          <w:sz w:val="18"/>
          <w:szCs w:val="18"/>
          <w:color w:val="auto"/>
        </w:rPr>
        <w:t>We, Vistra (BVI) Limited of Vistra Corporate Services Centre, Wickhams Cay II, Road Town, Tortola, VG1110, British Virgin Islands for the purpose of incorporating a BVI Business Company under the laws of the British Virgin Islands hereby sign these Articles of Association the 31st day of October,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4889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28543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(Sd.) Rexella D. Hodge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Vistra (BVI) Limited</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as Amended (the “Exchange Act”)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A Ordinary Shares of no par value per share (the “Class A Ordinary Shares”), of Sagtec Global Limited (“we,” “our,” “our company,” or “us”) are listed and traded on the Nasdaq Capital Market, and in connection with this listing (but not for trading), its Class A Ordinary Shares are registered under Section 12(b) of the Exchange Act. This exhibit contains a description of the rights of the holders of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Class A Ordinary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amended and restated memorandum of association and articles of association (the “Memorandum and Articles of Association”), as well as the BVI Business Companies Act (Revised Edition) 2020 of the British Virgin Islands (the “BVI Companies Act”) insofar as they relate to the material terms of our Class A Ordinary Shares. Notwithstanding this, because it is a summary, it may not contain all the information that you may otherwise deem important. For more complete information, you should read the entire Memorandum and Articles of Association, which have been filed with the U.S. Securities and Exchange Commission (the “SEC”) as exhibits to our annual report on Form 20-F for the financial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an unlimited number of no-par value Class A Ordinary Shares of a single class. All of our issued Class A Ordinary Shares are fully paid and non-assessable. Our Class A Ordinary Shares are issued in registered book-entry form and are issued when registered in our register of members. Unless the board of directors determine otherwise, each holder of our Class A Ordinary Shares will not receive a certificate in respect of such Class A Ordinary Shares. Our shareholders who are non-residents of the Cayman Islands may freely hold and vote their Class A Ordinary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there are 17,650,000 Class A Ordinary Shares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Securities (Item 9.A.5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Class A Ordinary Share has no par value. The number of Class A Ordinary Shares that have been issued as of the last day of the financial year ended December 31, 2025 is provided on the cover of the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and Class B Ordinary Shares are not subject to any pre-emptive or similar rights under either British Virgin Islands law or our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Class A Ordinary Shares (Item 10.B.3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authorised to issue an unlimited number of no par value shares of Class A Ordinary Shares and Class B Ordinary Shares. Where the Directors issue a share having no preferred, deferred, redemption or other special rights, it shall be issued as an Class A Ordinary Share and entitle the holder, subject to any other share having any preferred, deferred, redemption or other special rights, to:</w:t>
      </w:r>
    </w:p>
    <w:p>
      <w:pPr>
        <w:spacing w:after="0" w:line="176" w:lineRule="exact"/>
        <w:rPr>
          <w:sz w:val="20"/>
          <w:szCs w:val="20"/>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vote at a meeting of the shareholders or on any resolution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any distribution paid by the Company in accordance with the BVI Companies Act and the articles;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the distribution of any surplus assets of the Company on its liquidation.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Class B Ordinary Share shall entitle the holder, subject to any other share having any preferred, deferred, redemption or other special rights, to:</w:t>
      </w:r>
    </w:p>
    <w:p>
      <w:pPr>
        <w:spacing w:after="0" w:line="225" w:lineRule="exact"/>
        <w:rPr>
          <w:sz w:val="20"/>
          <w:szCs w:val="20"/>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votes at a meeting of the shareholders or on any resolution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any distribution paid by the Company in accordance with the BVI Companies Act and the articles;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share in the distribution of any surplus assets of the Company on its liquidation.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only issue registered shares. Subject to the Company’s Memorandum and Articles of Association, the Company may issue fractions of shares, bonus shares, redeemable shares and may redeem, purchase or otherwise acquire, any of its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BVI Companies Act and the Company’s Memorandum and Articles of Association, the unissued shares may be issued, and options to acquire shares may be granted, at any time, to any persons (whether or not shareholders), for any consideration and on any terms, the directors decide by a resolution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 is taken to be issued when the name of the holder is entered in the Company’s register of shareholders as the holder of the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BVI Companies Act and our memorandum and articles of association, the directors may declare dividends or distributions out of our funds which are lawfully available for that purpose.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dividends are subject to certain restrictions under BVI law and the Company’s Memorandum and Articles of Association, namely that: (a) all dividends must be authorized by board resolutions, by which our board of directors may authorise a distribution at any time and in any amount they think fit and set a record date (which may be before or after the date on which the board resolutions are passed) for determining the shareholders to be paid; (b) our board of directors may only authorize payment of a dividend if they are satisfied (on reasonable grounds) that the value of the Company’s assets exceeds its liabilities and the Company is able to pay its debts as they fall due (the “Solvency Test”) immediately paying the dividend; and (c) if, after a dividend is authorized (but before it is paid), our board of directors cease to be satisfied (on reasonable grounds) that the Company will be able to satisfy the Solvency Test after the dividend is paid, then such dividend is deemed not to have been authorized. A distribution made to a shareholder at a time when the Company did not, immediately after the distribution, satisfy the Solvency Test may be recovered by the Company from the member unless (a) the member received the distribution in good faith and without knowledge of the Company’s failure to satisfy the Solvency Test; (b) the member has altered his or her position in reliance on the validity of the distribution; and (c) it would be unfair to require repayment in full or at all.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Company’s Memorandum and Articles of Association, each Class A Ordinary Share confers on the holder the right to one (1) vote at a meeting of the shareholders or on any resolution of shareholders, and each Class B Ordinary Share confers on the holder the right to twenty (20) votes at a meeting of the shareholders or on any resolution of shareholders.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Company’s Memorandum and Articles of Association, a resolution put to a vote at a meeting of shareholders or an annual general meeting (“AGM”), will (in most cases) be passed and become a resolution of shareholders if it is passed by a simple majority of the votes cast in respect of the resolution, at a valid meeting of shareholders (or class of shareholders), by shareholders present (in person or by proxy) at the meeting who are entitled to vote on the resolution. Any action that may be taken by the shareholders at a meeting of shareholders (or class of shareholders) may also be taken by the shareholders (or class of shareholders) passing a written resolution of shareholders without the need for any prior notice to be given. A written resolution of shareholders is passed if signed or consented to by shareholders (or shareholders of the relevant class) who hold shares carrying a simple majority of the votes that may be cast in respect of the resolution who are entitled to vote on the resolution.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fraction of a share confers on the holder the rights, obligations and liabilities of a whole share of the same class corresponding to the fraction other than the right to vote. If the holder of a fraction of a share acquires a further fraction of a share of the same class, the fractions will be treated as being consolidated.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and Consents of Shareholders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director of the Company or the Chairman may call a meeting of shareholders (or a class of shareholders) if they decide to, and must call a meeting of shareholders (or a class of shareholders) if they are requested to do so in writing by shareholders entitled to exercise at least 30% of voting rights in respect of the matter for which the meeting is requested.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hold a meeting of the shareholders in accordance with the Company’s Memorandum and Articles of Association, the Companies Act and Nasdaq listing rules.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quorum is present at a meeting of shareholders or an AGM if one or more shareholders, who hold shares that carry not less than one third percent of the voting rights of all shares then in issue, are present in person or by proxy meeting.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a quorum is not present within half an hour of the time set for the start of the meeting, if the meeting was called: (i) at the request of shareholders in accordance with the Companies Act or the Company’s Memorandum and Articles of Association, it will be dissolved; or (ii) by the directors, the meeting will be adjourned to the following day and be held at the same time and place or any other date, time and/or place the directors decide by a resolution of directors.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chairman of a meeting of shareholders or an AGM: (i) may, with the consent of the shareholders present (in person or by proxy); and (ii) must, if directed to do so by a resolution of shareholders, adjourn the meeting to another date, time and/or place. In addition, the chairman of the meeting may, at any time without the consent of the shareholders present (in person or by proxy), adjourn the meeting (whether or not it has commenced or a quorum is present) to another date, time and/or place if the chairman considers that it would facilitate the conduct of the business of the meeting to do so. Nothing in the Company’s Memorandum and Articles of Association limits any other power vested in the chairman of the meeting to adjourn the meeting. No business may be conducted at any adjourned meeting other than the business which might have been conducted at the meeting from which the adjournment took place.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and Removal of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have a board of Directors consisting of not less than one Director. Directors shall be appointed by approval of a simple majority of the Directors and may be removed by approval of a simple majority of the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holds office for the term, if any, fixed by the terms of his appointment or until his earlier death, bankruptcy, insanity, resignation or removal.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 term is fixed on the appointment of a Director, the Director serves indefinitely until his earlier death, bankruptcy, insanity, resignation or removal.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The office of a Director shall be vacated if that Director:</w:t>
      </w:r>
    </w:p>
    <w:p>
      <w:pPr>
        <w:spacing w:after="0" w:line="225" w:lineRule="exact"/>
        <w:rPr>
          <w:sz w:val="20"/>
          <w:szCs w:val="20"/>
          <w:color w:val="auto"/>
        </w:rPr>
      </w:pPr>
    </w:p>
    <w:p>
      <w:pPr>
        <w:ind w:left="780" w:hanging="448"/>
        <w:spacing w:after="0"/>
        <w:tabs>
          <w:tab w:leader="none" w:pos="7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term of office expires and the director is not re-elected or reappointed;</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resigns by written notice to the Company;</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or enters into bankruptcy, liquidation or any similar procedure;</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of unsound mind or is mentally or physically incapable of acting as a director;</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prohibited or disqualified by law or under the applicable Listing Rules from being a director;</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insolvent or makes any arrangement or composition with the director’s creditors generally; or</w:t>
      </w:r>
    </w:p>
    <w:p>
      <w:pPr>
        <w:spacing w:after="0" w:line="225"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by a resolution of directors (and, for the avoidance of doubt, the shareholders have no right to remove a director and for this purpose, section 114 (Removal of directors) of the BVI Companies Act does not apply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Liens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Memorandum and Articles of Association and the rights attaching to any class of shares, our directors may make calls on a shareholder for any amount of the issue price of the shareholder’s shares that has not been paid to the Company. A call must be made by giving at least 14 days’ written notice of call to the shareholder. A call may be made payable in instalments. The directors may postpone a call or revoke it (in whole or part). A call is taken to have been made at the time the resolution of directors to make the call is passed.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Unclaimed Dividend</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dividend that remains unclaimed for a period of three years after it became due for payment shall be forfeited to, and shall cease to remain owing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Purchase and Surrender of Own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BVI Companies Act and any rights for the time being conferred on the shareholders holding a particular class of shares, we may:</w:t>
      </w:r>
    </w:p>
    <w:p>
      <w:pPr>
        <w:spacing w:after="0" w:line="225" w:lineRule="exact"/>
        <w:rPr>
          <w:sz w:val="20"/>
          <w:szCs w:val="20"/>
          <w:color w:val="auto"/>
        </w:rPr>
      </w:pPr>
    </w:p>
    <w:p>
      <w:pPr>
        <w:ind w:left="660" w:hanging="328"/>
        <w:spacing w:after="0" w:line="282"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on terms that they are to be redeemed or are liable to be redeemed at the option of the Company or the shareholder on such terms and in such manner as the Directors may, before the issue of such Shares, determine;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must not purchase, redeem or otherwise acquire any shares without the consent of the shareholder concerned unless the Company is permitted to do so without the shareholder's consent by the Companies Act, the Memorandum and Articles of Association and for the avoidance of doubt, shareholder consent is not required for any conversion of shares pursuant to clause 6.3 of the Memorandum and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that the Company redeems, purchases, accepts by way of surrender or otherwise acquires may;</w:t>
      </w:r>
    </w:p>
    <w:p>
      <w:pPr>
        <w:spacing w:after="0" w:line="225" w:lineRule="exact"/>
        <w:rPr>
          <w:sz w:val="20"/>
          <w:szCs w:val="20"/>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Treasury Shares on such terms and in such manner as the Directors determine prior to such acquisition (provided the surrender or acquisition of such Treasury Shares, when aggregated with all other shares of that class, would not result in the Company holding more than 50% of the issued shares of that class).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rights and obligations attaching to a Treasury Share are suspended and shall not be exercised by the Company while it holds the Share as a Treasury Share. The Company may:</w:t>
      </w:r>
    </w:p>
    <w:p>
      <w:pPr>
        <w:spacing w:after="0" w:line="162" w:lineRule="exact"/>
        <w:rPr>
          <w:sz w:val="20"/>
          <w:szCs w:val="20"/>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Directors may determine;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 in respect of which notice of redemption has been given shall not be entitled to participate in the profits of the Company in respect of the period after the date specified as the date of redemption in the notice of redemption. The redemption, purchase or surrender of any Share shall not be deemed to give rise to the redemption, purchase or surrender of any other Share. The redemption, purchase or surrender of any Share shall not be deemed to give rise to the redemption, purchase or surrender of any other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that a transfer of Class A Ordinary Shares complies with applicable rules of the Nasdaq, a shareholder may transfer Ordinary Shares to another person by completing an instrument of transfer in a common form or in a form prescribed by Nasdaq or in any other form approved by the directors, executed:</w:t>
      </w:r>
    </w:p>
    <w:p>
      <w:pPr>
        <w:spacing w:after="0" w:line="176" w:lineRule="exact"/>
        <w:rPr>
          <w:sz w:val="20"/>
          <w:szCs w:val="20"/>
          <w:color w:val="auto"/>
        </w:rPr>
      </w:pPr>
    </w:p>
    <w:p>
      <w:pPr>
        <w:ind w:left="660" w:hanging="328"/>
        <w:spacing w:after="0"/>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Class A Ordinary Shares are fully paid, by or on behalf of that shareholder;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Class A Ordinary Shares are unpaid or partly paid or where otherwise required by our directors, by or on behalf of that shareholder and the transferee.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transferor shall be deemed to remain the holder of an Class A Ordinary Share until the name of the transferee is entered into the register of members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Class A Ordinary Shares in question are not listed on or subject to the rules of Nasdaq, our board of directors may, in its absolute discretion, decline to register any transfer of any ordinary share for any reason. Where the directors refuse to register the transfer of a share: (a) they must state the reason for their refusal in a resolution of directors; and (b) the Company must, as soon as practicable, send each of the transferor and transferee a notice of refusal.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B Ordinary Shares are not transferrable, and no Class B Ordinary Share may be transferred by a shareholder to any person at any time, save where such transfer is made (i) pursuant to any share surrender, repurchase or redemption or (ii) to a privileged relation (in relation to a holder of Class B Ordinary Shares, his, her or its spouse, children and grandchildren (including step and adopted children and grandchildren) and their legal successors of the holder, a company or other entity over which that holder has control, or a trust set up wholly for the benefit of the holder) or the privileged relations of that holder, in each case in accordance with the Memorandum and Articles of Association.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spacing w:after="0" w:line="266" w:lineRule="auto"/>
        <w:rPr>
          <w:sz w:val="20"/>
          <w:szCs w:val="20"/>
          <w:color w:val="auto"/>
        </w:rPr>
      </w:pPr>
      <w:r>
        <w:rPr>
          <w:rFonts w:ascii="Times New Roman" w:cs="Times New Roman" w:eastAsia="Times New Roman" w:hAnsi="Times New Roman"/>
          <w:sz w:val="18"/>
          <w:szCs w:val="18"/>
          <w:color w:val="auto"/>
        </w:rPr>
        <w:t>Where the Company has issued a certificate in respect of a Share proposed to be transferred, the transferor shall lodge, with the instrument of transfer, the original certificate relating to the Share being transferred. The transfer of a Share is effective when the name of the transferee is entered on the Register of Members. Until such time, the transferor shall be deemed to remain a shareholder.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Directors are satisfied that an instrument of transfer relating to Shares has been signed but that the instrument has been lost or destroyed, they may, on receipt of such indemnities as they may require:</w:t>
      </w:r>
    </w:p>
    <w:p>
      <w:pPr>
        <w:spacing w:after="0" w:line="162" w:lineRule="exact"/>
        <w:rPr>
          <w:sz w:val="20"/>
          <w:szCs w:val="20"/>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such evidence of the transfer of Shares as they consider appropriate;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to register the transferee’s name in the Register of Members.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conversion of B Shares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Class B Ordinary Share that is transferred, assigned, transmitted or otherwise disposed of to a person who is not, immediately prior to such transaction, a holder of a Class B Ordinary Share or a permitted transferee shall automatically convert into a Class A Ordinary Share immediately before the transfer takes effect, without requiring the consent of the Class B Ordinary Share, with such transfer being effective only upon registration in the Company’s register of shareholders; provided that the granting of any pledge, charge, encumbrance or other third-party right over a Class B Ordinary Share shall not constitute a transfer unless, and until it is enforced and results in a third party acquiring legal title to the share, in which case the relevant Class B Ordinary Share shall convert to Class A Ordinary Share on a one-for-one basis, and further provided that any Class B Ordinary Share held by a permitted transferee shall similarly and automatically convert into an Class A Ordinary Share on a one-for-one basis, without consent, at the time such holder ceases to qualify as a permitted transferee.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of Treasury Shares may be for valuable consideration or otherwise, and at a discount to the par value of the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on not less than 14 days’ notice being given by advertisement in one or more newspapers, by electronic means or by any other means, be suspended at such times and for such periods as the Directors may, in their absolute discretion, from time to time determine, provided always that registration shall not be suspended for more than 30 days in any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shall be wound up, and the assets available for distribution amongst the shareholders shall be insufficient to repay the whole of the issued shares,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issued shares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shall be wound up the liquidator may, with any sanction required by the Companies Act or the BVI Insolvency Act (Revised Edition) 2020, divide amongst the shareholders in kind the whole or any part of the assets of the Company (whether they shall consist of property of the same kind or not) and may for that purpose value any assets and determine how the division shall be carried out as between the shareholders or different classes of shareholders. The liquidator may, with the like sanction, vest the whole or any part of such assets in trustees upon such trusts for the benefit of the shareholders and those liable to contribute to the winding up as the liquidator shall think fit.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Companies Act, the Company may by approval of a simple majority approval of its shareholders, or by approval of a simple majority of its Directors, be wound up voluntarily.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Class A Ordinary Shares (Item 10.B.4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at any time the Class A Ordinary Shares are divided into different classes, the rights attached to any class may only be varied, whether or not the Company is in liquidation, (i) with the written consent of the holders of the majority of the issued shares of that class or (ii) by a resolution of shareholders of that class. The Company must not purchase, redeem or otherwise acquire any shares without the consent of the shareholder concerned unless the Company is permitted to do so without the shareholder's consent by the Companies Act, the Memorandum and Articles of Association, and for the avoidance of doubt, shareholder consent is not required for any conversion of shares pursuant to clause 6.3 of the Memorandum and Articles of Association.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Class A Ordinary Shares (Item 10.B.6 of Form 20-F)</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laws of the British Virgin Islands or under the Memorandum and Articles of Association that limit the right of non-resident or foreign owners to hold or vote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British Virgin Islands law, our Directors may only exercise the rights and powers granted to them under our Memorandum and Articles of Association, as amended and restated from time to time,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and the laws of the BVI affecting BVI companies and our shareholders differ from laws applicable to U.S. corporations and their shareholders. Set forth below is a summary of the significant differences between the provisions of the laws of the BVI applicable to us and the laws applicable to companies incorporated in the state of Delaware.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Consolidation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laws of the BVI, two or more BVI companies may merge or consolidate in accordance with section 170 of the Companies Act. A merger means the merging of two or more constituent companies into one of the constituent companies and a consolidation means the consolidating of two or more constituent companies into a new company. In order to merge or consolidate, then (among other things) the directors of each constituent company must approve a written plan of merger or consolidation, which must be authorized by a resolution of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a director may vote on the plan of merger or consolidation even if he has an interest in the merger or consolidation, the director must disclose the interest to all other directors of the company promptly upon becoming aware of the fact that he is interested in the merger or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above, a transaction entered into by the company is not voidable if the material facts of the interest are known to the shareholders and they approve or ratify it or the company received fair value for the transaction.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not otherwise entitled to vote on the merger or consolidation may still acquire the right to vote if the plan of merger or consolidation contains any provision which, if proposed as an amendment to the Memorandum and Articles of Association, would entitle them to vote as a class or series on the proposed amendment. In any event, all shareholders must be given a copy of the plan of merger or consolidation irrespective of whether they are entitled to vote at the meeting held to approve the plan of merger or consolidation.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7" w:name="page188"/>
    <w:bookmarkEnd w:id="187"/>
    <w:p>
      <w:pPr>
        <w:jc w:val="both"/>
        <w:spacing w:after="0" w:line="282" w:lineRule="auto"/>
        <w:rPr>
          <w:sz w:val="20"/>
          <w:szCs w:val="20"/>
          <w:color w:val="auto"/>
        </w:rPr>
      </w:pPr>
      <w:r>
        <w:rPr>
          <w:rFonts w:ascii="Times New Roman" w:cs="Times New Roman" w:eastAsia="Times New Roman" w:hAnsi="Times New Roman"/>
          <w:sz w:val="18"/>
          <w:szCs w:val="18"/>
          <w:color w:val="auto"/>
        </w:rPr>
        <w:t>After the plan of merger or consolidation has been approved by the directors and authorized by a resolution of the shareholders, articles of merger or consolidation are executed by each company and filed with the Registrar of Corporate Affairs in the BVI.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who gave written objection within 20 days. These shareholders then have 20 days to give to the company their written election in the form specified by the Companies Act to dissent from the merger or consolidation, provided that in the case of a merger, the 20 days starts when the plan of merger is delivered to the shareholder.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giving notice of his election to dissent, a shareholder ceases to have any of the rights of a shareholder except the right to be paid the fair value of his shares. As such, the merger or consolidation may proceed in the ordinary course notwithstanding his dissent.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seven days of the later of the delivery of the notice of election to dissent and the effective date of the merger or consolidation, the surviving or consolidated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both statutory and common law remedies available to our shareholders as a matter of British Virgin Islands law. These are summarized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Unfair prejudice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who considers that the affairs of the company have been, are being, or are likely to be, conducted in a manner that is, or any act or acts of the company have been, or are, likely to be oppressive, unfairly discriminatory or unfairly prejudicial to the shareholder in that capacity, can apply to the BVI High Court under Section 184I of the Companies Act for an order requiring the company or any other person to acquire the shareholder’s shares or pay compensation to the shareholder, regulating the future conduct of the company’s affairs, amending the memorandum or articles of the company, appointing a receiver or liquidator of the company, rectifying the records of the company, or that any decision or action of the company which contravenes the Companies Act or the company’s Memorandum and Articles of Association be set aside.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184C of the Companies Act provides that a shareholder of a company may, with the leave of the BVI High Court, bring an action in the name of the company to redress any wrong done to it.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i w:val="1"/>
          <w:iCs w:val="1"/>
          <w:color w:val="auto"/>
        </w:rPr>
        <w:t>Just and equitable winding up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statutory remedies outlined above, shareholders can also petition for the winding up of a company on the grounds that it is just and equitable for the court to so order. This statutory remedy is usually granted in exceptional circumstances and is only available where the company has been operated as a quasi-partnership and trust and confidence between the partners has broken down.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Under the Company’s Memorandum and Articles of Association, subject to the Companies Act, the Company must indemnify any person who; (i) is or was a party, or is threatened to be made a party, to any threatened, pending or completed proceedings, whether civil, criminal, administrative or investigative, by reason of the fact that the person is or was a director or officer of the Company; or (ii) is or was, at the request of the Company, serving as a director or officer of, or in any other capacity is or was acting for, another body corporate or a partnership, joint venture, trust or other enterprise, against any expenses, judgments, fines or amounts paid in settlement and reasonably incurred in connection with any legal, administrative or investigative proceedings.</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above, the Company may pay on behalf of the person or lend funds to the person to enable the person to pay, any expenses incurred, or to be incurred, by the person in defending any legal, administrative or investigative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standard of conduct is generally the same as permitted under the Delaware General Corporation Act for a Delaware corporation. In addition, the service agreements of our Directors and senior Executive Officers with the Company provide such person’s additional indemnification beyond that provided in our Articles of Association.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Companies Act to be entitled to this indemnification, such person must have acted honestly and in good faith with a view to the best interests of our company and, in the case of criminal proceedings, they must have no reasonable cause to believe their conduct was unlawful.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 in our Memorandum and Articles of Association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British Virgin Islands law, our Directors may only exercise the rights and powers granted to them under our Memorandum and Articles of Association, as amended and restated from time to time, for what they believe in good faith to be in the best interests of our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the same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Companies Act or our Memorandum and Articles of Association, as amended and restated from time to time. A shareholder has the right to seek damages for breaches of duties owed to us by our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Interested transactions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director may vote, attend a board meeting and be included for the purposes of a quorum, sign a document on behalf of the Company, or do any other thing in their capacity as a director with respect to any transaction in which that director is interested. A director must immediately disclose the interest to all other directors after becoming aware of the fact that they are interested in a transaction entered into or to be entered into by the Company. Subject to compliance with the Companies Act, a director shall not, by reason of that director’s office, be accountable to the Company for any remuneration, profit or other benefit derived, or resulting, from derived from such transaction and no such transaction shall be liable to be avoided on the grounds that a director has an interest in it or derives any remuneration, profit or other benefit from 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disclosure is only made when it is brought to the attention of every director. The disclosure by a director that they are a member, director, officer or trustee of another named entity or other individual, or has a fiduciary relationship with respect to the entity or individual, and is to be regarded as interested in any transaction which may, after the date of the entry or disclosure of interest, be entered into with the Company or that director, is a sufficient disclosure of interest in relation to that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the shareholders decide otherwise by a resolution of shareholders, the number of directors is not subject to a maximum number but the minimum number of directors shall be one. The first directors were appointed by the Company’s first BVI registered agent. Subject to the Company’s Memorandum and Articles of Association and the Companies Act, our directors may by a resolution of directors: (i) appoint any person to hold any office with the Company (including chairperson of directors, chief executive officer, vice president, secretary and treasurer) on any terms, and for any period, they think fit (a person may hold more than one office at the same time) and for the avoidance of doubt, the shareholders have no right to appoint a director and for this purpose, section 113(2)(a) (Appointment of directors) of the Companies Act does not apply to the Company; (ii) delegate any of their powers to any committee, consisting of one or more directors on any terms they think fit; and/or (iii) appoint any person (including a director) to be an agent of the Company and delegate their powers to that agent on any terms they think fit.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0" w:name="page191"/>
    <w:bookmarkEnd w:id="190"/>
    <w:p>
      <w:pPr>
        <w:jc w:val="both"/>
        <w:spacing w:after="0" w:line="261" w:lineRule="auto"/>
        <w:rPr>
          <w:sz w:val="20"/>
          <w:szCs w:val="20"/>
          <w:color w:val="auto"/>
        </w:rPr>
      </w:pPr>
      <w:r>
        <w:rPr>
          <w:rFonts w:ascii="Times New Roman" w:cs="Times New Roman" w:eastAsia="Times New Roman" w:hAnsi="Times New Roman"/>
          <w:sz w:val="18"/>
          <w:szCs w:val="18"/>
          <w:color w:val="auto"/>
        </w:rPr>
        <w:t>The directors cannot delegate to a committee or agent the power to: (i) amend the memorandum and articles of association of the Company; (ii) designate committees of directors other than a sub-committee of it; (iii) delegate powers to a committee of directors other than a sub-committee of it; (iv) appoint or remove a director or agent; (v) approve a plan of merger, consolidation or arrangement; (vi) make a declaration of solvency or approve a liquidation plan; or (vii) make a determination that the Company will, immediately after a proposed distribution, satisfy the Solvency Test.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may, and (if a secretary has been appointed) the secretary must, call a meeting of directors. At least 24 hours’ notice of each meeting of directors must be given. A meeting of directors will be valid even if the person who calls the meeting inadvertently fails to give notice to a director or a director fails to receive 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directors decide otherwise by resolution of directors, a quorum will be present at a meeting of directors if not less than one half of the total number of directors is present. If the Company only has two directors, a quorum is present if two directors are present. If the Company only has a sole director, a quorum is present if the sole director is present.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resolution put to a vote at a meeting of directors, will be passed and become a resolution of directors if passed by a simple majority of the votes cast in respect of the resolution, at a valid meeting of directors or a committee, by directors or members of the committee (or their alternates) present at the meeting who are entitled to vote.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action that may be taken by our directors at a meeting of directors may also be taken by our directors passing a written resolution of directors without the need for any prior notice to be given. A written resolution of directors is passed if signed or consented to (including by way of fax or email) by a majority of directors or members of a committee (or their alternates) who are entitled to vote. Where a written resolution of directors is passed without all of our directors signing or consenting to it, the Company must send a copy of it to those directors who have not signed or consented to it. If the Company fails to do so, this will not invalidate the resolution. If the Company has a sole director, the sole director may pass a written resolution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directors and officers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any time, the Company’s directors may appoint by a resolution of directors any person to be a director, either to fill a vacancy or as an additional director, for any term (if any) the directors decide. Where the directors appoint a person as director to fill a vacancy, the term of appointment must not exceed the term remaining of the director who ceased to hold office.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British Virgin Islands law provides that, subject to the memorandum and articles of association of a company, an action that may be taken by the shareholders at a meeting may also be taken by a resolution of shareholders consented to in writing or by telex, telegram, cable or other written electronic communication, without the need for any notice.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Memorandum and Articles of Association provide that a written resolution of shareholders: (i) may consist of several documents (including electronic communications) in substantially the same form; (ii) may be signed or consented to by the relevant shareholder or the shareholder’s attorney or (in the case of a body corporate) a properly authorized officer or attorney; and (iii) must be sent to each shareholder who would be entitled to attend a meeting of shareholders and vote on the resolution.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permit shareholders to act by written consent (passed by the consent in writing of a simple majority of the votes of the Shares entitled to vote thereon) but provide that if a resolution of shareholders is approved otherwise that by unanimous written consent of all shareholders, a copy of the resolution must immediately be sent to each non-consenting shareholder.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eliminate the right of shareholders to act by written consent by amendment to its certificate of incorporation. Our Articles of Association provide that any action required or permitted to be taken at general meetings of the Company may only be taken upon the vote of shareholders at general meeting and shareholders may not approve corporate matters by way of a unanimous written resolution without a meeting being held.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shareholder has the right to put any proposal before any annual meeting of shareholders, provided it complies with the notice provisions in the governing documents. A special meeting may be called by the board of directors, or any other person authorized to do so in the Company’s Memorandum and Articles of Association, but shareholders may be precluded from calling special meetings.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and Memorandum and Articles of Association provide that our board of directors must convene a meeting of shareholders upon the written request of shareholders entitled to exercise 30% or more of the voting rights. We are not obliged under the Companies Act or any other law of the BVI to call shareholders’ annual general meetings, but our Memorandum and Articles of Association provide for an annual general meeting to be called in accordance with the requirements of the relevant listing rules, Memorandum and Articles of Association and the Companies Act. The location of any shareholders’ meeting can be determined by the board of directors and can be held anywhere in the world.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Act,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Articles of Association do not provide for cumulative voting. As a result, our shareholders are not afforded any less protections or rights on this issue than shareholders of a Delaware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 (or otherwise ceasing to hold office)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director ceases to hold office if: (i) the director’s term of office expires and the director is not re-elected or reappointed; (ii) the director resigns by written notice to the Company; (iii) the director dies or enters into bankruptcy, liquidation or any similar procedure; (iv) the director dies or enters into bankruptcy, liquidation or any similar procedure; (v) the director is prohibited or disqualified by law or under Nasdaq Listing Rules from being a director;</w:t>
      </w:r>
    </w:p>
    <w:p>
      <w:pPr>
        <w:spacing w:after="0" w:line="1" w:lineRule="exact"/>
        <w:rPr>
          <w:sz w:val="20"/>
          <w:szCs w:val="20"/>
          <w:color w:val="auto"/>
        </w:rPr>
      </w:pPr>
    </w:p>
    <w:p>
      <w:pPr>
        <w:jc w:val="both"/>
        <w:ind w:firstLine="8"/>
        <w:spacing w:after="0" w:line="255" w:lineRule="auto"/>
        <w:tabs>
          <w:tab w:leader="none" w:pos="32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insolvent or makes any arrangement or composition with the director’s creditors generally; or (vii) the director is removed from office by a resolution of directors (and for the avoidance of doubt, the shareholders have no right to remove a director and, for this purpose, section 114 (Removal of directors) of the Companies Act does not apply to the Company).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with cause, by a simple majority decision of the directors passed at a meeting of directors called for the purpose of removing the director (or for purposes including the removal of the director).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 director resigns, the resignation takes effect from the later of the date: (i) on which the notice of resignation is received at the Company’s registered office or the office of the Company’s registered agent; and (ii) specified in the notice of resignation.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Act, a director of a corporation with a classified board may be removed only for cause with the approval of a majority of the outstanding shares entitled to vote, unless the certificate of incorporation provides otherwise.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Act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Act,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British Virgin Islands law, a company may be wound up by either an order of the courts of the British Virgin Islands or by a special resolution of its members or, if the company is unable to pay its debts as they fall due, by approval of a simple majority of its members. The court has authority to order winding up in a number of specified circumstances including where it is, in the opinion of the court, just and equitable to do so.</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Companies Act and our Memorandum and Articles of Association, we may appoint a voluntary liquidator by a resolution of shareholders or (subject to section 199(2) of the Companies Act) a resolution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vary the rights of a class of shares with the approval of a majority of the outstanding shares of such class, unless the certificate of incorporation provides otherwise. Under British Virgin Islands law and our Memorandum of Association, if our authorized shares are divided into more than one class of shares, we may vary the rights attached to any class only with the consent in writing of or by a resolution passed at a meeting by the holders of a majority of the issued Shares in that class or by a resolution of shareholders of that class.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Act, a corporation’s governing documents may be amended with the approval of a majority of the outstanding shares entitled to vote, unless the certificate of incorporation provides otherwise. As permitted by British Virgin Islands law, our Memorandum and Articles of Association may be amended by a resolution of shareholders and, subject to certain exceptions, by a resolution of directors. Any amendment is effective from the date it is registered at the BVI Registry of Corporate Affairs (signified by the stamping of the amendment by the BVI Registrar of Corporate Affairs).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Power to Issue Shares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Ng Chen Lok, Chief Executive Officer of Sagtec Global Limited (the “Company”), certify that:</w:t>
      </w:r>
    </w:p>
    <w:p>
      <w:pPr>
        <w:spacing w:after="0" w:line="225" w:lineRule="exact"/>
        <w:rPr>
          <w:sz w:val="20"/>
          <w:szCs w:val="20"/>
          <w:color w:val="auto"/>
        </w:rPr>
      </w:pPr>
    </w:p>
    <w:p>
      <w:pPr>
        <w:ind w:left="340" w:hanging="332"/>
        <w:spacing w:after="0"/>
        <w:tabs>
          <w:tab w:leader="none" w:pos="3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i w:val="1"/>
          <w:iCs w:val="1"/>
          <w:color w:val="auto"/>
        </w:rPr>
        <w:t>By:</w:t>
        <w:tab/>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Ng Chen Lok</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Chief Executive Officer, Executive Director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and Chairman of the Board</w:t>
      </w:r>
    </w:p>
    <w:p>
      <w:pPr>
        <w:sectPr>
          <w:pgSz w:w="11900" w:h="16838" w:orient="portrait"/>
          <w:cols w:equalWidth="0" w:num="1">
            <w:col w:w="11240"/>
          </w:cols>
          <w:pgMar w:left="320" w:top="11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Zuria Hajar Bt Mohd Adnan, Chief Financial Officer of Sagtec Global Limited (the “Company”), certify that:</w:t>
      </w:r>
    </w:p>
    <w:p>
      <w:pPr>
        <w:spacing w:after="0" w:line="225" w:lineRule="exact"/>
        <w:rPr>
          <w:sz w:val="20"/>
          <w:szCs w:val="20"/>
          <w:color w:val="auto"/>
        </w:rPr>
      </w:pPr>
    </w:p>
    <w:p>
      <w:pPr>
        <w:ind w:left="340" w:hanging="332"/>
        <w:spacing w:after="0"/>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13a-15I and 15d-15(e)) and internal control over financial reporting (as defined in Exchange Act Rule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Zuria Hajar Bt Mohd Adnan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Zuria Hajar Bt Mohd Adnan</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Chief Financial Officer and Executive Director</w:t>
      </w:r>
    </w:p>
    <w:p>
      <w:pPr>
        <w:sectPr>
          <w:pgSz w:w="11900" w:h="16838" w:orient="portrait"/>
          <w:cols w:equalWidth="0" w:num="1">
            <w:col w:w="11240"/>
          </w:cols>
          <w:pgMar w:left="320" w:top="117" w:right="339" w:bottom="1440" w:gutter="0" w:footer="0" w:header="0"/>
        </w:sectPr>
      </w:pPr>
    </w:p>
    <w:bookmarkStart w:id="195" w:name="page196"/>
    <w:bookmarkEnd w:id="195"/>
    <w:p>
      <w:pPr>
        <w:ind w:left="1032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Ng Chen Lok, Chief Executive Officer of Sagtec Global Limited (the “Company”),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340" w:hanging="332"/>
        <w:spacing w:after="0" w:line="282"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December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Ng Chen Lok</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Chief Executive Officer, Executive Director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and Chairman of the Board</w:t>
      </w:r>
    </w:p>
    <w:p>
      <w:pPr>
        <w:sectPr>
          <w:pgSz w:w="11900" w:h="16838" w:orient="portrait"/>
          <w:cols w:equalWidth="0" w:num="1">
            <w:col w:w="11240"/>
          </w:cols>
          <w:pgMar w:left="320" w:top="117" w:right="339" w:bottom="1440" w:gutter="0" w:footer="0" w:header="0"/>
        </w:sectPr>
      </w:pPr>
    </w:p>
    <w:bookmarkStart w:id="196" w:name="page197"/>
    <w:bookmarkEnd w:id="196"/>
    <w:p>
      <w:pPr>
        <w:ind w:left="10320"/>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Zuria Hajar Bt Mohd Adnan, Chief Financial Officer of Sagtec Global Limited (the “Company”),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340" w:hanging="332"/>
        <w:spacing w:after="0" w:line="282"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December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Zuria Hajar Bt Mohd Adnan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Zuria Hajar Bt Mohd Adnan</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Chief Financial Officer and Executive Director</w:t>
      </w:r>
    </w:p>
    <w:p>
      <w:pPr>
        <w:sectPr>
          <w:pgSz w:w="11900" w:h="16838" w:orient="portrait"/>
          <w:cols w:equalWidth="0" w:num="1">
            <w:col w:w="11240"/>
          </w:cols>
          <w:pgMar w:left="320" w:top="11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333-293073) under the Securities Act of 1933 of our report dated April 29, 2026, with respect to the consolidated statements of financial position as of Sagtec Global Limited (collectively referred to as the “Company”) as of December 31, 2025 and 2024, the related consolidated statements of profit or loss and other comprehensive income, changes in equity and cash flows for each of the years in the three-year period ended December 31, 2025, appearing in this annual report on Form 20-F.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Onestop Assurance 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Onestop Assurance PAC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1)"/>
      <w:numFmt w:val="lowerLetter"/>
      <w:start w:val="1"/>
    </w:lvl>
  </w:abstractNum>
  <w:abstractNum w:abstractNumId="4">
    <w:nsid w:val="754342"/>
    <w:multiLevelType w:val="hybridMultilevel"/>
    <w:lvl w:ilvl="0">
      <w:lvlJc w:val="left"/>
      <w:lvlText w:val="●"/>
      <w:numFmt w:val="bullet"/>
      <w:start w:val="1"/>
    </w:lvl>
  </w:abstractNum>
  <w:abstractNum w:abstractNumId="5">
    <w:nsid w:val="69E7F3E5"/>
    <w:multiLevelType w:val="hybridMultilevel"/>
    <w:lvl w:ilvl="0">
      <w:lvlJc w:val="left"/>
      <w:lvlText w:val="●"/>
      <w:numFmt w:val="bullet"/>
      <w:start w:val="1"/>
    </w:lvl>
  </w:abstractNum>
  <w:abstractNum w:abstractNumId="6">
    <w:nsid w:val="2A6DE806"/>
    <w:multiLevelType w:val="hybridMultilevel"/>
    <w:lvl w:ilvl="0">
      <w:lvlJc w:val="left"/>
      <w:lvlText w:val="●"/>
      <w:numFmt w:val="bullet"/>
      <w:start w:val="1"/>
    </w:lvl>
  </w:abstractNum>
  <w:abstractNum w:abstractNumId="7">
    <w:nsid w:val="1816F8C4"/>
    <w:multiLevelType w:val="hybridMultilevel"/>
    <w:lvl w:ilvl="0">
      <w:lvlJc w:val="left"/>
      <w:lvlText w:val="●"/>
      <w:numFmt w:val="bullet"/>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
      <w:numFmt w:val="bullet"/>
      <w:start w:val="1"/>
    </w:lvl>
  </w:abstractNum>
  <w:abstractNum w:abstractNumId="11">
    <w:nsid w:val="61E74EA3"/>
    <w:multiLevelType w:val="hybridMultilevel"/>
    <w:lvl w:ilvl="0">
      <w:lvlJc w:val="left"/>
      <w:lvlText w:val="●"/>
      <w:numFmt w:val="bullet"/>
      <w:start w:val="1"/>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1)"/>
      <w:numFmt w:val="lowerLetter"/>
      <w:start w:val="1"/>
    </w:lvl>
  </w:abstractNum>
  <w:abstractNum w:abstractNumId="14">
    <w:nsid w:val="57C7D42D"/>
    <w:multiLevelType w:val="hybridMultilevel"/>
    <w:lvl w:ilvl="0">
      <w:lvlJc w:val="left"/>
      <w:lvlText w:val="●"/>
      <w:numFmt w:val="bullet"/>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1)"/>
      <w:numFmt w:val="lowerRoman"/>
      <w:start w:val="2"/>
    </w:lvl>
  </w:abstractNum>
  <w:abstractNum w:abstractNumId="19">
    <w:nsid w:val="6E534CDE"/>
    <w:multiLevelType w:val="hybridMultilevel"/>
    <w:lvl w:ilvl="0">
      <w:lvlJc w:val="left"/>
      <w:lvlText w:val="●"/>
      <w:numFmt w:val="bullet"/>
      <w:start w:val="1"/>
    </w:lvl>
  </w:abstractNum>
  <w:abstractNum w:abstractNumId="20">
    <w:nsid w:val="1A0DDE32"/>
    <w:multiLevelType w:val="hybridMultilevel"/>
    <w:lvl w:ilvl="0">
      <w:lvlJc w:val="left"/>
      <w:lvlText w:val="(%1)"/>
      <w:numFmt w:val="lowerLetter"/>
      <w:start w:val="1"/>
    </w:lvl>
  </w:abstractNum>
  <w:abstractNum w:abstractNumId="21">
    <w:nsid w:val="65968C1C"/>
    <w:multiLevelType w:val="hybridMultilevel"/>
    <w:lvl w:ilvl="0">
      <w:lvlJc w:val="left"/>
      <w:lvlText w:val="%1."/>
      <w:numFmt w:val="upperLetter"/>
      <w:start w:val="9"/>
    </w:lvl>
  </w:abstractNum>
  <w:abstractNum w:abstractNumId="22">
    <w:nsid w:val="46263DEC"/>
    <w:multiLevelType w:val="hybridMultilevel"/>
    <w:lvl w:ilvl="0">
      <w:lvlJc w:val="left"/>
      <w:lvlText w:val="%1."/>
      <w:numFmt w:val="lowerRoman"/>
      <w:start w:val="1"/>
    </w:lvl>
  </w:abstractNum>
  <w:abstractNum w:abstractNumId="23">
    <w:nsid w:val="260D8C4A"/>
    <w:multiLevelType w:val="hybridMultilevel"/>
    <w:lvl w:ilvl="0">
      <w:lvlJc w:val="left"/>
      <w:lvlText w:val="%1."/>
      <w:numFmt w:val="lowerRoman"/>
      <w:start w:val="1"/>
    </w:lvl>
    <w:lvl w:ilvl="1">
      <w:lvlJc w:val="left"/>
      <w:lvlText w:val="●"/>
      <w:numFmt w:val="bullet"/>
      <w:start w:val="1"/>
    </w:lvl>
  </w:abstractNum>
  <w:abstractNum w:abstractNumId="24">
    <w:nsid w:val="73D4D3C4"/>
    <w:multiLevelType w:val="hybridMultilevel"/>
    <w:lvl w:ilvl="0">
      <w:lvlJc w:val="left"/>
      <w:lvlText w:val="%1."/>
      <w:numFmt w:val="lowerRoman"/>
      <w:start w:val="2"/>
    </w:lvl>
  </w:abstractNum>
  <w:abstractNum w:abstractNumId="25">
    <w:nsid w:val="746F2E30"/>
    <w:multiLevelType w:val="hybridMultilevel"/>
    <w:lvl w:ilvl="0">
      <w:lvlJc w:val="left"/>
      <w:lvlText w:val="%1."/>
      <w:numFmt w:val="lowerRoman"/>
      <w:start w:val="2"/>
    </w:lvl>
  </w:abstractNum>
  <w:abstractNum w:abstractNumId="26">
    <w:nsid w:val="6FDE8AF6"/>
    <w:multiLevelType w:val="hybridMultilevel"/>
    <w:lvl w:ilvl="0">
      <w:lvlJc w:val="left"/>
      <w:lvlText w:val="%1"/>
      <w:numFmt w:val="upperLetter"/>
      <w:start w:val="1"/>
    </w:lvl>
    <w:lvl w:ilvl="1">
      <w:lvlJc w:val="left"/>
      <w:lvlText w:val="%2."/>
      <w:numFmt w:val="lowerRoman"/>
      <w:start w:val="4"/>
    </w:lvl>
  </w:abstractNum>
  <w:abstractNum w:abstractNumId="27">
    <w:nsid w:val="3FC32E20"/>
    <w:multiLevelType w:val="hybridMultilevel"/>
    <w:lvl w:ilvl="0">
      <w:lvlJc w:val="left"/>
      <w:lvlText w:val="%1."/>
      <w:numFmt w:val="upperLetter"/>
      <w:start w:val="61"/>
    </w:lvl>
    <w:lvl w:ilvl="1">
      <w:lvlJc w:val="left"/>
      <w:lvlText w:val="%2"/>
      <w:numFmt w:val="lowerRoman"/>
      <w:start w:val="1"/>
    </w:lvl>
  </w:abstractNum>
  <w:abstractNum w:abstractNumId="28">
    <w:nsid w:val="49C0E823"/>
    <w:multiLevelType w:val="hybridMultilevel"/>
    <w:lvl w:ilvl="0">
      <w:lvlJc w:val="left"/>
      <w:lvlText w:val="%1."/>
      <w:numFmt w:val="lowerRoman"/>
      <w:start w:val="1"/>
    </w:lvl>
    <w:lvl w:ilvl="1">
      <w:lvlJc w:val="left"/>
      <w:lvlText w:val="●"/>
      <w:numFmt w:val="bullet"/>
      <w:start w:val="1"/>
    </w:lvl>
  </w:abstractNum>
  <w:abstractNum w:abstractNumId="29">
    <w:nsid w:val="14D53685"/>
    <w:multiLevelType w:val="hybridMultilevel"/>
    <w:lvl w:ilvl="0">
      <w:lvlJc w:val="left"/>
      <w:lvlText w:val="(%1)"/>
      <w:numFmt w:val="lowerLetter"/>
      <w:start w:val="2"/>
    </w:lvl>
  </w:abstractNum>
  <w:abstractNum w:abstractNumId="30">
    <w:nsid w:val="230F856C"/>
    <w:multiLevelType w:val="hybridMultilevel"/>
    <w:lvl w:ilvl="0">
      <w:lvlJc w:val="left"/>
      <w:lvlText w:val="%1."/>
      <w:numFmt w:val="upperLetter"/>
      <w:start w:val="9"/>
    </w:lvl>
  </w:abstractNum>
  <w:abstractNum w:abstractNumId="31">
    <w:nsid w:val="6EAA85FB"/>
    <w:multiLevelType w:val="hybridMultilevel"/>
    <w:lvl w:ilvl="0">
      <w:lvlJc w:val="left"/>
      <w:lvlText w:val="%1"/>
      <w:numFmt w:val="upperLetter"/>
      <w:start w:val="1"/>
    </w:lvl>
    <w:lvl w:ilvl="1">
      <w:lvlJc w:val="left"/>
      <w:lvlText w:val="%2."/>
      <w:numFmt w:val="lowerRoman"/>
      <w:start w:val="1"/>
    </w:lvl>
  </w:abstractNum>
  <w:abstractNum w:abstractNumId="32">
    <w:nsid w:val="3F06ECB2"/>
    <w:multiLevelType w:val="hybridMultilevel"/>
    <w:lvl w:ilvl="0">
      <w:lvlJc w:val="left"/>
      <w:lvlText w:val="%1."/>
      <w:numFmt w:val="upperLetter"/>
      <w:start w:val="35"/>
    </w:lvl>
    <w:lvl w:ilvl="1">
      <w:lvlJc w:val="left"/>
      <w:lvlText w:val="%2"/>
      <w:numFmt w:val="lowerRoman"/>
      <w:start w:val="1"/>
    </w:lvl>
  </w:abstractNum>
  <w:abstractNum w:abstractNumId="33">
    <w:nsid w:val="3B594807"/>
    <w:multiLevelType w:val="hybridMultilevel"/>
    <w:lvl w:ilvl="0">
      <w:lvlJc w:val="left"/>
      <w:lvlText w:val="%1."/>
      <w:numFmt w:val="lowerRoman"/>
      <w:start w:val="1"/>
    </w:lvl>
    <w:lvl w:ilvl="1">
      <w:lvlJc w:val="left"/>
      <w:lvlText w:val="●"/>
      <w:numFmt w:val="bullet"/>
      <w:start w:val="1"/>
    </w:lvl>
  </w:abstractNum>
  <w:abstractNum w:abstractNumId="34">
    <w:nsid w:val="6CAA2304"/>
    <w:multiLevelType w:val="hybridMultilevel"/>
    <w:lvl w:ilvl="0">
      <w:lvlJc w:val="left"/>
      <w:lvlText w:val="%1."/>
      <w:numFmt w:val="lowerRoman"/>
      <w:start w:val="1"/>
    </w:lvl>
  </w:abstractNum>
  <w:abstractNum w:abstractNumId="35">
    <w:nsid w:val="3F7C2FF4"/>
    <w:multiLevelType w:val="hybridMultilevel"/>
    <w:lvl w:ilvl="0">
      <w:lvlJc w:val="left"/>
      <w:lvlText w:val="%1."/>
      <w:numFmt w:val="lowerRoman"/>
      <w:start w:val="1"/>
    </w:lvl>
    <w:lvl w:ilvl="1">
      <w:lvlJc w:val="left"/>
      <w:lvlText w:val="●"/>
      <w:numFmt w:val="bullet"/>
      <w:start w:val="1"/>
    </w:lvl>
  </w:abstractNum>
  <w:abstractNum w:abstractNumId="36">
    <w:nsid w:val="25413BEC"/>
    <w:multiLevelType w:val="hybridMultilevel"/>
    <w:lvl w:ilvl="0">
      <w:lvlJc w:val="left"/>
      <w:lvlText w:val="%1."/>
      <w:numFmt w:val="lowerRoman"/>
      <w:start w:val="1"/>
    </w:lvl>
  </w:abstractNum>
  <w:abstractNum w:abstractNumId="37">
    <w:nsid w:val="17180B0B"/>
    <w:multiLevelType w:val="hybridMultilevel"/>
    <w:lvl w:ilvl="0">
      <w:lvlJc w:val="left"/>
      <w:lvlText w:val="%1"/>
      <w:numFmt w:val="lowerLetter"/>
      <w:start w:val="1"/>
    </w:lvl>
    <w:lvl w:ilvl="1">
      <w:lvlJc w:val="left"/>
      <w:lvlText w:val="%2."/>
      <w:numFmt w:val="lowerRoman"/>
      <w:start w:val="3"/>
    </w:lvl>
  </w:abstractNum>
  <w:abstractNum w:abstractNumId="38">
    <w:nsid w:val="579328B9"/>
    <w:multiLevelType w:val="hybridMultilevel"/>
    <w:lvl w:ilvl="0">
      <w:lvlJc w:val="left"/>
      <w:lvlText w:val="(%1)"/>
      <w:numFmt w:val="lowerLetter"/>
      <w:start w:val="3"/>
    </w:lvl>
    <w:lvl w:ilvl="1">
      <w:lvlJc w:val="left"/>
      <w:lvlText w:val="%2"/>
      <w:numFmt w:val="lowerRoman"/>
      <w:start w:val="1"/>
    </w:lvl>
  </w:abstractNum>
  <w:abstractNum w:abstractNumId="39">
    <w:nsid w:val="5D205E20"/>
    <w:multiLevelType w:val="hybridMultilevel"/>
    <w:lvl w:ilvl="0">
      <w:lvlJc w:val="left"/>
      <w:lvlText w:val="%1."/>
      <w:numFmt w:val="upperLetter"/>
      <w:start w:val="9"/>
    </w:lvl>
  </w:abstractNum>
  <w:abstractNum w:abstractNumId="40">
    <w:nsid w:val="11CCA8BA"/>
    <w:multiLevelType w:val="hybridMultilevel"/>
    <w:lvl w:ilvl="0">
      <w:lvlJc w:val="left"/>
      <w:lvlText w:val="%1."/>
      <w:numFmt w:val="upperLetter"/>
      <w:start w:val="35"/>
    </w:lvl>
  </w:abstractNum>
  <w:abstractNum w:abstractNumId="41">
    <w:nsid w:val="4D32AB86"/>
    <w:multiLevelType w:val="hybridMultilevel"/>
    <w:lvl w:ilvl="0">
      <w:lvlJc w:val="left"/>
      <w:lvlText w:val="%1."/>
      <w:numFmt w:val="upperLetter"/>
      <w:start w:val="61"/>
    </w:lvl>
  </w:abstractNum>
  <w:abstractNum w:abstractNumId="42">
    <w:nsid w:val="3F07ACC3"/>
    <w:multiLevelType w:val="hybridMultilevel"/>
    <w:lvl w:ilvl="0">
      <w:lvlJc w:val="left"/>
      <w:lvlText w:val="%1."/>
      <w:numFmt w:val="lowerRoman"/>
      <w:start w:val="1"/>
    </w:lvl>
    <w:lvl w:ilvl="1">
      <w:lvlJc w:val="left"/>
      <w:lvlText w:val="●"/>
      <w:numFmt w:val="bullet"/>
      <w:start w:val="1"/>
    </w:lvl>
  </w:abstractNum>
  <w:abstractNum w:abstractNumId="43">
    <w:nsid w:val="6B47F63E"/>
    <w:multiLevelType w:val="hybridMultilevel"/>
    <w:lvl w:ilvl="0">
      <w:lvlJc w:val="left"/>
      <w:lvlText w:val="%1."/>
      <w:numFmt w:val="lowerRoman"/>
      <w:start w:val="1"/>
    </w:lvl>
    <w:lvl w:ilvl="1">
      <w:lvlJc w:val="left"/>
      <w:lvlText w:val="●"/>
      <w:numFmt w:val="bullet"/>
      <w:start w:val="1"/>
    </w:lvl>
  </w:abstractNum>
  <w:abstractNum w:abstractNumId="44">
    <w:nsid w:val="5CB44A05"/>
    <w:multiLevelType w:val="hybridMultilevel"/>
    <w:lvl w:ilvl="0">
      <w:lvlJc w:val="left"/>
      <w:lvlText w:val="%1."/>
      <w:numFmt w:val="lowerRoman"/>
      <w:start w:val="2"/>
    </w:lvl>
  </w:abstractNum>
  <w:abstractNum w:abstractNumId="45">
    <w:nsid w:val="16CF80F1"/>
    <w:multiLevelType w:val="hybridMultilevel"/>
    <w:lvl w:ilvl="0">
      <w:lvlJc w:val="left"/>
      <w:lvlText w:val="%1."/>
      <w:numFmt w:val="lowerRoman"/>
      <w:start w:val="1"/>
    </w:lvl>
  </w:abstractNum>
  <w:abstractNum w:abstractNumId="46">
    <w:nsid w:val="1C695DEC"/>
    <w:multiLevelType w:val="hybridMultilevel"/>
    <w:lvl w:ilvl="0">
      <w:lvlJc w:val="left"/>
      <w:lvlText w:val="%1."/>
      <w:numFmt w:val="lowerRoman"/>
      <w:start w:val="1"/>
    </w:lvl>
  </w:abstractNum>
  <w:abstractNum w:abstractNumId="47">
    <w:nsid w:val="3FCFAED9"/>
    <w:multiLevelType w:val="hybridMultilevel"/>
    <w:lvl w:ilvl="0">
      <w:lvlJc w:val="left"/>
      <w:lvlText w:val="%1."/>
      <w:numFmt w:val="lowerRoman"/>
      <w:start w:val="4"/>
    </w:lvl>
  </w:abstractNum>
  <w:abstractNum w:abstractNumId="48">
    <w:nsid w:val="F856867"/>
    <w:multiLevelType w:val="hybridMultilevel"/>
    <w:lvl w:ilvl="0">
      <w:lvlJc w:val="left"/>
      <w:lvlText w:val="%1."/>
      <w:numFmt w:val="lowerRoman"/>
      <w:start w:val="1"/>
    </w:lvl>
    <w:lvl w:ilvl="1">
      <w:lvlJc w:val="left"/>
      <w:lvlText w:val="●"/>
      <w:numFmt w:val="bullet"/>
      <w:start w:val="1"/>
    </w:lvl>
  </w:abstractNum>
  <w:abstractNum w:abstractNumId="49">
    <w:nsid w:val="11B1CC33"/>
    <w:multiLevelType w:val="hybridMultilevel"/>
    <w:lvl w:ilvl="0">
      <w:lvlJc w:val="left"/>
      <w:lvlText w:val="%1."/>
      <w:numFmt w:val="lowerRoman"/>
      <w:start w:val="1"/>
    </w:lvl>
    <w:lvl w:ilvl="1">
      <w:lvlJc w:val="left"/>
      <w:lvlText w:val="●"/>
      <w:numFmt w:val="bullet"/>
      <w:start w:val="1"/>
    </w:lvl>
  </w:abstractNum>
  <w:abstractNum w:abstractNumId="50">
    <w:nsid w:val="2E22FBB7"/>
    <w:multiLevelType w:val="hybridMultilevel"/>
    <w:lvl w:ilvl="0">
      <w:lvlJc w:val="left"/>
      <w:lvlText w:val="%1."/>
      <w:numFmt w:val="lowerRoman"/>
      <w:start w:val="1"/>
    </w:lvl>
  </w:abstractNum>
  <w:abstractNum w:abstractNumId="51">
    <w:nsid w:val="29934699"/>
    <w:multiLevelType w:val="hybridMultilevel"/>
    <w:lvl w:ilvl="0">
      <w:lvlJc w:val="left"/>
      <w:lvlText w:val="●"/>
      <w:numFmt w:val="bullet"/>
      <w:start w:val="1"/>
    </w:lvl>
  </w:abstractNum>
  <w:abstractNum w:abstractNumId="52">
    <w:nsid w:val="77485850"/>
    <w:multiLevelType w:val="hybridMultilevel"/>
    <w:lvl w:ilvl="0">
      <w:lvlJc w:val="left"/>
      <w:lvlText w:val="%1"/>
      <w:numFmt w:val="lowerLetter"/>
      <w:start w:val="1"/>
    </w:lvl>
    <w:lvl w:ilvl="1">
      <w:lvlJc w:val="left"/>
      <w:lvlText w:val="%2."/>
      <w:numFmt w:val="lowerRoman"/>
      <w:start w:val="4"/>
    </w:lvl>
  </w:abstractNum>
  <w:abstractNum w:abstractNumId="53">
    <w:nsid w:val="744939A3"/>
    <w:multiLevelType w:val="hybridMultilevel"/>
    <w:lvl w:ilvl="0">
      <w:lvlJc w:val="left"/>
      <w:lvlText w:val="(%1)"/>
      <w:numFmt w:val="lowerLetter"/>
      <w:start w:val="4"/>
    </w:lvl>
    <w:lvl w:ilvl="1">
      <w:lvlJc w:val="left"/>
      <w:lvlText w:val="%2"/>
      <w:numFmt w:val="lowerRoman"/>
      <w:start w:val="1"/>
    </w:lvl>
  </w:abstractNum>
  <w:abstractNum w:abstractNumId="54">
    <w:nsid w:val="4FA0D2E3"/>
    <w:multiLevelType w:val="hybridMultilevel"/>
    <w:lvl w:ilvl="0">
      <w:lvlJc w:val="left"/>
      <w:lvlText w:val="%1."/>
      <w:numFmt w:val="lowerRoman"/>
      <w:start w:val="1"/>
    </w:lvl>
  </w:abstractNum>
  <w:abstractNum w:abstractNumId="55">
    <w:nsid w:val="6B1D2C14"/>
    <w:multiLevelType w:val="hybridMultilevel"/>
    <w:lvl w:ilvl="0">
      <w:lvlJc w:val="left"/>
      <w:lvlText w:val="%1."/>
      <w:numFmt w:val="lowerRoman"/>
      <w:start w:val="1"/>
    </w:lvl>
  </w:abstractNum>
  <w:abstractNum w:abstractNumId="56">
    <w:nsid w:val="68B867D3"/>
    <w:multiLevelType w:val="hybridMultilevel"/>
    <w:lvl w:ilvl="0">
      <w:lvlJc w:val="left"/>
      <w:lvlText w:val="%1)"/>
      <w:numFmt w:val="lowerLetter"/>
      <w:start w:val="1"/>
    </w:lvl>
  </w:abstractNum>
  <w:abstractNum w:abstractNumId="57">
    <w:nsid w:val="3F7F5DD9"/>
    <w:multiLevelType w:val="hybridMultilevel"/>
    <w:lvl w:ilvl="0">
      <w:lvlJc w:val="left"/>
      <w:lvlText w:val="%1)"/>
      <w:numFmt w:val="lowerLetter"/>
      <w:start w:val="1"/>
    </w:lvl>
  </w:abstractNum>
  <w:abstractNum w:abstractNumId="58">
    <w:nsid w:val="2AE05A34"/>
    <w:multiLevelType w:val="hybridMultilevel"/>
    <w:lvl w:ilvl="0">
      <w:lvlJc w:val="left"/>
      <w:lvlText w:val="%1)"/>
      <w:numFmt w:val="lowerLetter"/>
      <w:start w:val="2"/>
    </w:lvl>
  </w:abstractNum>
  <w:abstractNum w:abstractNumId="59">
    <w:nsid w:val="32794FF7"/>
    <w:multiLevelType w:val="hybridMultilevel"/>
    <w:lvl w:ilvl="0">
      <w:lvlJc w:val="left"/>
      <w:lvlText w:val="%1)"/>
      <w:numFmt w:val="lowerLetter"/>
      <w:start w:val="1"/>
    </w:lvl>
  </w:abstractNum>
  <w:abstractNum w:abstractNumId="60">
    <w:nsid w:val="5454945E"/>
    <w:multiLevelType w:val="hybridMultilevel"/>
    <w:lvl w:ilvl="0">
      <w:lvlJc w:val="left"/>
      <w:lvlText w:val="%1."/>
      <w:numFmt w:val="decimal"/>
      <w:start w:val="1"/>
    </w:lvl>
  </w:abstractNum>
  <w:abstractNum w:abstractNumId="61">
    <w:nsid w:val="4DEFDFA0"/>
    <w:multiLevelType w:val="hybridMultilevel"/>
    <w:lvl w:ilvl="0">
      <w:lvlJc w:val="left"/>
      <w:lvlText w:val="%1."/>
      <w:numFmt w:val="decimal"/>
      <w:start w:val="1"/>
    </w:lvl>
  </w:abstractNum>
  <w:abstractNum w:abstractNumId="62">
    <w:nsid w:val="2123D5F2"/>
    <w:multiLevelType w:val="hybridMultilevel"/>
    <w:lvl w:ilvl="0">
      <w:lvlJc w:val="left"/>
      <w:lvlText w:val="●"/>
      <w:numFmt w:val="bullet"/>
      <w:start w:val="1"/>
    </w:lvl>
  </w:abstractNum>
  <w:abstractNum w:abstractNumId="63">
    <w:nsid w:val="135B8110"/>
    <w:multiLevelType w:val="hybridMultilevel"/>
    <w:lvl w:ilvl="0">
      <w:lvlJc w:val="left"/>
      <w:lvlText w:val="%1."/>
      <w:numFmt w:val="decimal"/>
      <w:start w:val="1"/>
    </w:lvl>
  </w:abstractNum>
  <w:abstractNum w:abstractNumId="64">
    <w:nsid w:val="94927A8"/>
    <w:multiLevelType w:val="hybridMultilevel"/>
    <w:lvl w:ilvl="0">
      <w:lvlJc w:val="left"/>
      <w:lvlText w:val="%1."/>
      <w:numFmt w:val="decimal"/>
      <w:start w:val="1"/>
    </w:lvl>
  </w:abstractNum>
  <w:abstractNum w:abstractNumId="65">
    <w:nsid w:val="DCDF8F6"/>
    <w:multiLevelType w:val="hybridMultilevel"/>
    <w:lvl w:ilvl="0">
      <w:lvlJc w:val="left"/>
      <w:lvlText w:val="%1."/>
      <w:numFmt w:val="decimal"/>
      <w:start w:val="1"/>
    </w:lvl>
  </w:abstractNum>
  <w:abstractNum w:abstractNumId="66">
    <w:nsid w:val="52D7B105"/>
    <w:multiLevelType w:val="hybridMultilevel"/>
    <w:lvl w:ilvl="0">
      <w:lvlJc w:val="left"/>
      <w:lvlText w:val="(%1)"/>
      <w:numFmt w:val="decimal"/>
      <w:start w:val="1"/>
    </w:lvl>
  </w:abstractNum>
  <w:abstractNum w:abstractNumId="67">
    <w:nsid w:val="2E8A6394"/>
    <w:multiLevelType w:val="hybridMultilevel"/>
    <w:lvl w:ilvl="0">
      <w:lvlJc w:val="left"/>
      <w:lvlText w:val="●"/>
      <w:numFmt w:val="bullet"/>
      <w:start w:val="1"/>
    </w:lvl>
  </w:abstractNum>
  <w:abstractNum w:abstractNumId="68">
    <w:nsid w:val="24E60401"/>
    <w:multiLevelType w:val="hybridMultilevel"/>
    <w:lvl w:ilvl="0">
      <w:lvlJc w:val="left"/>
      <w:lvlText w:val="●"/>
      <w:numFmt w:val="bullet"/>
      <w:start w:val="1"/>
    </w:lvl>
  </w:abstractNum>
  <w:abstractNum w:abstractNumId="69">
    <w:nsid w:val="2A6AD9BE"/>
    <w:multiLevelType w:val="hybridMultilevel"/>
    <w:lvl w:ilvl="0">
      <w:lvlJc w:val="left"/>
      <w:lvlText w:val="●"/>
      <w:numFmt w:val="bullet"/>
      <w:start w:val="1"/>
    </w:lvl>
  </w:abstractNum>
  <w:abstractNum w:abstractNumId="70">
    <w:nsid w:val="BAAC1B4"/>
    <w:multiLevelType w:val="hybridMultilevel"/>
    <w:lvl w:ilvl="0">
      <w:lvlJc w:val="left"/>
      <w:lvlText w:val="●"/>
      <w:numFmt w:val="bullet"/>
      <w:start w:val="1"/>
    </w:lvl>
  </w:abstractNum>
  <w:abstractNum w:abstractNumId="71">
    <w:nsid w:val="36B2ACBC"/>
    <w:multiLevelType w:val="hybridMultilevel"/>
    <w:lvl w:ilvl="0">
      <w:lvlJc w:val="left"/>
      <w:lvlText w:val="●"/>
      <w:numFmt w:val="bullet"/>
      <w:start w:val="1"/>
    </w:lvl>
  </w:abstractNum>
  <w:abstractNum w:abstractNumId="72">
    <w:nsid w:val="779D8544"/>
    <w:multiLevelType w:val="hybridMultilevel"/>
    <w:lvl w:ilvl="0">
      <w:lvlJc w:val="left"/>
      <w:lvlText w:val="(%1)"/>
      <w:numFmt w:val="decimal"/>
      <w:start w:val="60"/>
    </w:lvl>
  </w:abstractNum>
  <w:abstractNum w:abstractNumId="73">
    <w:nsid w:val="4AB26E78"/>
    <w:multiLevelType w:val="hybridMultilevel"/>
    <w:lvl w:ilvl="0">
      <w:lvlJc w:val="left"/>
      <w:lvlText w:val="(%1)"/>
      <w:numFmt w:val="decimal"/>
      <w:start w:val="1"/>
    </w:lvl>
  </w:abstractNum>
  <w:abstractNum w:abstractNumId="74">
    <w:nsid w:val="21FAA2FA"/>
    <w:multiLevelType w:val="hybridMultilevel"/>
    <w:lvl w:ilvl="0">
      <w:lvlJc w:val="left"/>
      <w:lvlText w:val="%1."/>
      <w:numFmt w:val="lowerLetter"/>
      <w:start w:val="1"/>
    </w:lvl>
  </w:abstractNum>
  <w:abstractNum w:abstractNumId="75">
    <w:nsid w:val="5451CF49"/>
    <w:multiLevelType w:val="hybridMultilevel"/>
    <w:lvl w:ilvl="0">
      <w:lvlJc w:val="left"/>
      <w:lvlText w:val="(%1)"/>
      <w:numFmt w:val="decimal"/>
      <w:start w:val="1"/>
    </w:lvl>
  </w:abstractNum>
  <w:abstractNum w:abstractNumId="76">
    <w:nsid w:val="6181EF69"/>
    <w:multiLevelType w:val="hybridMultilevel"/>
    <w:lvl w:ilvl="0">
      <w:lvlJc w:val="left"/>
      <w:lvlText w:val="(%1)"/>
      <w:numFmt w:val="lowerLetter"/>
      <w:start w:val="1"/>
    </w:lvl>
  </w:abstractNum>
  <w:abstractNum w:abstractNumId="77">
    <w:nsid w:val="3E6400E6"/>
    <w:multiLevelType w:val="hybridMultilevel"/>
    <w:lvl w:ilvl="0">
      <w:lvlJc w:val="left"/>
      <w:lvlText w:val="(%1)"/>
      <w:numFmt w:val="lowerRoman"/>
      <w:start w:val="2"/>
    </w:lvl>
  </w:abstractNum>
  <w:abstractNum w:abstractNumId="78">
    <w:nsid w:val="14217E23"/>
    <w:multiLevelType w:val="hybridMultilevel"/>
    <w:lvl w:ilvl="0">
      <w:lvlJc w:val="left"/>
      <w:lvlText w:val="●"/>
      <w:numFmt w:val="bullet"/>
      <w:start w:val="1"/>
    </w:lvl>
  </w:abstractNum>
  <w:abstractNum w:abstractNumId="79">
    <w:nsid w:val="710757D0"/>
    <w:multiLevelType w:val="hybridMultilevel"/>
    <w:lvl w:ilvl="0">
      <w:lvlJc w:val="left"/>
      <w:lvlText w:val="*"/>
      <w:numFmt w:val="bullet"/>
      <w:start w:val="1"/>
    </w:lvl>
  </w:abstractNum>
  <w:abstractNum w:abstractNumId="80">
    <w:nsid w:val="5015CD1A"/>
    <w:multiLevelType w:val="hybridMultilevel"/>
    <w:lvl w:ilvl="0">
      <w:lvlJc w:val="left"/>
      <w:lvlText w:val="●"/>
      <w:numFmt w:val="bullet"/>
      <w:start w:val="1"/>
    </w:lvl>
  </w:abstractNum>
  <w:abstractNum w:abstractNumId="81">
    <w:nsid w:val="424479DA"/>
    <w:multiLevelType w:val="hybridMultilevel"/>
    <w:lvl w:ilvl="0">
      <w:lvlJc w:val="left"/>
      <w:lvlText w:val="●"/>
      <w:numFmt w:val="bullet"/>
      <w:start w:val="1"/>
    </w:lvl>
  </w:abstractNum>
  <w:abstractNum w:abstractNumId="82">
    <w:nsid w:val="1A9A9E69"/>
    <w:multiLevelType w:val="hybridMultilevel"/>
    <w:lvl w:ilvl="0">
      <w:lvlJc w:val="left"/>
      <w:lvlText w:val="●"/>
      <w:numFmt w:val="bullet"/>
      <w:start w:val="1"/>
    </w:lvl>
  </w:abstractNum>
  <w:abstractNum w:abstractNumId="83">
    <w:nsid w:val="475E256A"/>
    <w:multiLevelType w:val="hybridMultilevel"/>
    <w:lvl w:ilvl="0">
      <w:lvlJc w:val="left"/>
      <w:lvlText w:val="(%1)"/>
      <w:numFmt w:val="decimal"/>
      <w:start w:val="1"/>
    </w:lvl>
  </w:abstractNum>
  <w:abstractNum w:abstractNumId="84">
    <w:nsid w:val="368DB37E"/>
    <w:multiLevelType w:val="hybridMultilevel"/>
    <w:lvl w:ilvl="0">
      <w:lvlJc w:val="left"/>
      <w:lvlText w:val="*"/>
      <w:numFmt w:val="bullet"/>
      <w:start w:val="1"/>
    </w:lvl>
  </w:abstractNum>
  <w:abstractNum w:abstractNumId="85">
    <w:nsid w:val="6A3B714C"/>
    <w:multiLevelType w:val="hybridMultilevel"/>
    <w:lvl w:ilvl="0">
      <w:lvlJc w:val="left"/>
      <w:lvlText w:val="1"/>
      <w:numFmt w:val="bullet"/>
      <w:start w:val="1"/>
    </w:lvl>
  </w:abstractNum>
  <w:abstractNum w:abstractNumId="86">
    <w:nsid w:val="327B517E"/>
    <w:multiLevelType w:val="hybridMultilevel"/>
    <w:lvl w:ilvl="0">
      <w:lvlJc w:val="left"/>
      <w:lvlText w:val="2"/>
      <w:numFmt w:val="bullet"/>
      <w:start w:val="1"/>
    </w:lvl>
  </w:abstractNum>
  <w:abstractNum w:abstractNumId="87">
    <w:nsid w:val="1F461B51"/>
    <w:multiLevelType w:val="hybridMultilevel"/>
    <w:lvl w:ilvl="0">
      <w:lvlJc w:val="left"/>
      <w:lvlText w:val="2"/>
      <w:numFmt w:val="bullet"/>
      <w:start w:val="1"/>
    </w:lvl>
  </w:abstractNum>
  <w:abstractNum w:abstractNumId="88">
    <w:nsid w:val="29BACF25"/>
    <w:multiLevelType w:val="hybridMultilevel"/>
    <w:lvl w:ilvl="0">
      <w:lvlJc w:val="left"/>
      <w:lvlText w:val="2"/>
      <w:numFmt w:val="bullet"/>
      <w:start w:val="1"/>
    </w:lvl>
    <w:lvl w:ilvl="1">
      <w:lvlJc w:val="left"/>
      <w:lvlText w:val="%2."/>
      <w:numFmt w:val="decimal"/>
      <w:start w:val="1"/>
    </w:lvl>
  </w:abstractNum>
  <w:abstractNum w:abstractNumId="89">
    <w:nsid w:val="5D5BABB3"/>
    <w:multiLevelType w:val="hybridMultilevel"/>
    <w:lvl w:ilvl="0">
      <w:lvlJc w:val="left"/>
      <w:lvlText w:val="2"/>
      <w:numFmt w:val="bullet"/>
      <w:start w:val="1"/>
    </w:lvl>
  </w:abstractNum>
  <w:abstractNum w:abstractNumId="90">
    <w:nsid w:val="51BF6B48"/>
    <w:multiLevelType w:val="hybridMultilevel"/>
    <w:lvl w:ilvl="0">
      <w:lvlJc w:val="left"/>
      <w:lvlText w:val="2"/>
      <w:numFmt w:val="bullet"/>
      <w:start w:val="1"/>
    </w:lvl>
  </w:abstractNum>
  <w:abstractNum w:abstractNumId="91">
    <w:nsid w:val="7E0F6384"/>
    <w:multiLevelType w:val="hybridMultilevel"/>
    <w:lvl w:ilvl="0">
      <w:lvlJc w:val="left"/>
      <w:lvlText w:val="2"/>
      <w:numFmt w:val="bullet"/>
      <w:start w:val="1"/>
    </w:lvl>
    <w:lvl w:ilvl="1">
      <w:lvlJc w:val="left"/>
      <w:lvlText w:val="%2."/>
      <w:numFmt w:val="decimal"/>
      <w:start w:val="1"/>
    </w:lvl>
  </w:abstractNum>
  <w:abstractNum w:abstractNumId="92">
    <w:nsid w:val="2B4B8B53"/>
    <w:multiLevelType w:val="hybridMultilevel"/>
    <w:lvl w:ilvl="0">
      <w:lvlJc w:val="left"/>
      <w:lvlText w:val="2"/>
      <w:numFmt w:val="bullet"/>
      <w:start w:val="1"/>
    </w:lvl>
  </w:abstractNum>
  <w:abstractNum w:abstractNumId="93">
    <w:nsid w:val="72E3413A"/>
    <w:multiLevelType w:val="hybridMultilevel"/>
    <w:lvl w:ilvl="0">
      <w:lvlJc w:val="left"/>
      <w:lvlText w:val="2"/>
      <w:numFmt w:val="bullet"/>
      <w:start w:val="1"/>
    </w:lvl>
  </w:abstractNum>
  <w:abstractNum w:abstractNumId="94">
    <w:nsid w:val="116AE494"/>
    <w:multiLevelType w:val="hybridMultilevel"/>
    <w:lvl w:ilvl="0">
      <w:lvlJc w:val="left"/>
      <w:lvlText w:val="3"/>
      <w:numFmt w:val="bullet"/>
      <w:start w:val="1"/>
    </w:lvl>
  </w:abstractNum>
  <w:abstractNum w:abstractNumId="95">
    <w:nsid w:val="3494B2FB"/>
    <w:multiLevelType w:val="hybridMultilevel"/>
    <w:lvl w:ilvl="0">
      <w:lvlJc w:val="left"/>
      <w:lvlText w:val="4"/>
      <w:numFmt w:val="bullet"/>
      <w:start w:val="1"/>
    </w:lvl>
  </w:abstractNum>
  <w:abstractNum w:abstractNumId="96">
    <w:nsid w:val="B13A31"/>
    <w:multiLevelType w:val="hybridMultilevel"/>
    <w:lvl w:ilvl="0">
      <w:lvlJc w:val="left"/>
      <w:lvlText w:val="4"/>
      <w:numFmt w:val="bullet"/>
      <w:start w:val="1"/>
    </w:lvl>
    <w:lvl w:ilvl="1">
      <w:lvlJc w:val="left"/>
      <w:lvlText w:val="●"/>
      <w:numFmt w:val="bullet"/>
      <w:start w:val="1"/>
    </w:lvl>
  </w:abstractNum>
  <w:abstractNum w:abstractNumId="97">
    <w:nsid w:val="64429599"/>
    <w:multiLevelType w:val="hybridMultilevel"/>
    <w:lvl w:ilvl="0">
      <w:lvlJc w:val="left"/>
      <w:lvlText w:val="4"/>
      <w:numFmt w:val="bullet"/>
      <w:start w:val="1"/>
    </w:lvl>
    <w:lvl w:ilvl="1">
      <w:lvlJc w:val="left"/>
      <w:lvlText w:val="●"/>
      <w:numFmt w:val="bullet"/>
      <w:start w:val="1"/>
    </w:lvl>
  </w:abstractNum>
  <w:abstractNum w:abstractNumId="98">
    <w:nsid w:val="631F1690"/>
    <w:multiLevelType w:val="hybridMultilevel"/>
    <w:lvl w:ilvl="0">
      <w:lvlJc w:val="left"/>
      <w:lvlText w:val="o"/>
      <w:numFmt w:val="bullet"/>
      <w:start w:val="1"/>
    </w:lvl>
  </w:abstractNum>
  <w:abstractNum w:abstractNumId="99">
    <w:nsid w:val="25973E32"/>
    <w:multiLevelType w:val="hybridMultilevel"/>
    <w:lvl w:ilvl="0">
      <w:lvlJc w:val="left"/>
      <w:lvlText w:val="5"/>
      <w:numFmt w:val="bullet"/>
      <w:start w:val="1"/>
    </w:lvl>
  </w:abstractNum>
  <w:abstractNum w:abstractNumId="100">
    <w:nsid w:val="EAD6F57"/>
    <w:multiLevelType w:val="hybridMultilevel"/>
    <w:lvl w:ilvl="0">
      <w:lvlJc w:val="left"/>
      <w:lvlText w:val="6"/>
      <w:numFmt w:val="bullet"/>
      <w:start w:val="1"/>
    </w:lvl>
  </w:abstractNum>
  <w:abstractNum w:abstractNumId="101">
    <w:nsid w:val="6EC9D844"/>
    <w:multiLevelType w:val="hybridMultilevel"/>
    <w:lvl w:ilvl="0">
      <w:lvlJc w:val="left"/>
      <w:lvlText w:val="7"/>
      <w:numFmt w:val="bullet"/>
      <w:start w:val="1"/>
    </w:lvl>
  </w:abstractNum>
  <w:abstractNum w:abstractNumId="102">
    <w:nsid w:val="5C49EAEE"/>
    <w:multiLevelType w:val="hybridMultilevel"/>
    <w:lvl w:ilvl="0">
      <w:lvlJc w:val="left"/>
      <w:lvlText w:val="9"/>
      <w:numFmt w:val="bullet"/>
      <w:start w:val="1"/>
    </w:lvl>
  </w:abstractNum>
  <w:abstractNum w:abstractNumId="103">
    <w:nsid w:val="64AF49B"/>
    <w:multiLevelType w:val="hybridMultilevel"/>
    <w:lvl w:ilvl="0">
      <w:lvlJc w:val="left"/>
      <w:lvlText w:val="%1"/>
      <w:numFmt w:val="decimal"/>
      <w:start w:val="13"/>
    </w:lvl>
  </w:abstractNum>
  <w:abstractNum w:abstractNumId="104">
    <w:nsid w:val="397C46BC"/>
    <w:multiLevelType w:val="hybridMultilevel"/>
    <w:lvl w:ilvl="0">
      <w:lvlJc w:val="left"/>
      <w:lvlText w:val="%1"/>
      <w:numFmt w:val="decimal"/>
      <w:start w:val="15"/>
    </w:lvl>
  </w:abstractNum>
  <w:abstractNum w:abstractNumId="105">
    <w:nsid w:val="7E448DE9"/>
    <w:multiLevelType w:val="hybridMultilevel"/>
    <w:lvl w:ilvl="0">
      <w:lvlJc w:val="left"/>
      <w:lvlText w:val="*"/>
      <w:numFmt w:val="bullet"/>
      <w:start w:val="1"/>
    </w:lvl>
  </w:abstractNum>
  <w:abstractNum w:abstractNumId="106">
    <w:nsid w:val="5A9CC3E5"/>
    <w:multiLevelType w:val="hybridMultilevel"/>
    <w:lvl w:ilvl="0">
      <w:lvlJc w:val="left"/>
      <w:lvlText w:val="**"/>
      <w:numFmt w:val="bullet"/>
      <w:start w:val="1"/>
    </w:lvl>
  </w:abstractNum>
  <w:abstractNum w:abstractNumId="107">
    <w:nsid w:val="1AFE3625"/>
    <w:multiLevelType w:val="hybridMultilevel"/>
    <w:lvl w:ilvl="0">
      <w:lvlJc w:val="left"/>
      <w:lvlText w:val="%1"/>
      <w:numFmt w:val="decimal"/>
      <w:start w:val="18"/>
    </w:lvl>
  </w:abstractNum>
  <w:abstractNum w:abstractNumId="108">
    <w:nsid w:val="3CA88ECF"/>
    <w:multiLevelType w:val="hybridMultilevel"/>
    <w:lvl w:ilvl="0">
      <w:lvlJc w:val="left"/>
      <w:lvlText w:val="%1"/>
      <w:numFmt w:val="decimal"/>
      <w:start w:val="21"/>
    </w:lvl>
  </w:abstractNum>
  <w:abstractNum w:abstractNumId="109">
    <w:nsid w:val="6EBE4208"/>
    <w:multiLevelType w:val="hybridMultilevel"/>
    <w:lvl w:ilvl="0">
      <w:lvlJc w:val="left"/>
      <w:lvlText w:val="%1"/>
      <w:numFmt w:val="decimal"/>
      <w:start w:val="22"/>
    </w:lvl>
  </w:abstractNum>
  <w:abstractNum w:abstractNumId="110">
    <w:nsid w:val="C058DF5"/>
    <w:multiLevelType w:val="hybridMultilevel"/>
    <w:lvl w:ilvl="0">
      <w:lvlJc w:val="left"/>
      <w:lvlText w:val="%1"/>
      <w:numFmt w:val="decimal"/>
      <w:start w:val="22"/>
    </w:lvl>
  </w:abstractNum>
  <w:abstractNum w:abstractNumId="111">
    <w:nsid w:val="CBE5BE9"/>
    <w:multiLevelType w:val="hybridMultilevel"/>
    <w:lvl w:ilvl="0">
      <w:lvlJc w:val="left"/>
      <w:lvlText w:val="%1"/>
      <w:numFmt w:val="decimal"/>
      <w:start w:val="22"/>
    </w:lvl>
  </w:abstractNum>
  <w:abstractNum w:abstractNumId="112">
    <w:nsid w:val="3102BBE2"/>
    <w:multiLevelType w:val="hybridMultilevel"/>
    <w:lvl w:ilvl="0">
      <w:lvlJc w:val="left"/>
      <w:lvlText w:val="%1"/>
      <w:numFmt w:val="decimal"/>
      <w:start w:val="23"/>
    </w:lvl>
  </w:abstractNum>
  <w:abstractNum w:abstractNumId="113">
    <w:nsid w:val="26A02C5E"/>
    <w:multiLevelType w:val="hybridMultilevel"/>
    <w:lvl w:ilvl="0">
      <w:lvlJc w:val="left"/>
      <w:lvlText w:val="%1"/>
      <w:numFmt w:val="decimal"/>
      <w:start w:val="23"/>
    </w:lvl>
  </w:abstractNum>
  <w:abstractNum w:abstractNumId="114">
    <w:nsid w:val="541C8153"/>
    <w:multiLevelType w:val="hybridMultilevel"/>
    <w:lvl w:ilvl="0">
      <w:lvlJc w:val="left"/>
      <w:lvlText w:val="%1"/>
      <w:numFmt w:val="decimal"/>
      <w:start w:val="24"/>
    </w:lvl>
  </w:abstractNum>
  <w:abstractNum w:abstractNumId="115">
    <w:nsid w:val="67906F60"/>
    <w:multiLevelType w:val="hybridMultilevel"/>
    <w:lvl w:ilvl="0">
      <w:lvlJc w:val="left"/>
      <w:lvlText w:val="%1"/>
      <w:numFmt w:val="decimal"/>
      <w:start w:val="25"/>
    </w:lvl>
  </w:abstractNum>
  <w:abstractNum w:abstractNumId="116">
    <w:nsid w:val="10DB9DAA"/>
    <w:multiLevelType w:val="hybridMultilevel"/>
    <w:lvl w:ilvl="0">
      <w:lvlJc w:val="left"/>
      <w:lvlText w:val="%1."/>
      <w:numFmt w:val="decimal"/>
      <w:start w:val="1"/>
    </w:lvl>
  </w:abstractNum>
  <w:abstractNum w:abstractNumId="117">
    <w:nsid w:val="697D2D2"/>
    <w:multiLevelType w:val="hybridMultilevel"/>
    <w:lvl w:ilvl="0">
      <w:lvlJc w:val="left"/>
      <w:lvlText w:val="%1"/>
      <w:numFmt w:val="decimal"/>
      <w:start w:val="1"/>
    </w:lvl>
    <w:lvl w:ilvl="1">
      <w:lvlJc w:val="left"/>
      <w:lvlText w:val="(%2)"/>
      <w:numFmt w:val="lowerLetter"/>
      <w:start w:val="1"/>
    </w:lvl>
  </w:abstractNum>
  <w:abstractNum w:abstractNumId="118">
    <w:nsid w:val="6D68AB2"/>
    <w:multiLevelType w:val="hybridMultilevel"/>
    <w:lvl w:ilvl="0">
      <w:lvlJc w:val="left"/>
      <w:lvlText w:val="%1."/>
      <w:numFmt w:val="decimal"/>
      <w:start w:val="4"/>
    </w:lvl>
    <w:lvl w:ilvl="1">
      <w:lvlJc w:val="left"/>
      <w:lvlText w:val="%2"/>
      <w:numFmt w:val="lowerLetter"/>
      <w:start w:val="1"/>
    </w:lvl>
  </w:abstractNum>
  <w:abstractNum w:abstractNumId="119">
    <w:nsid w:val="3A966CD0"/>
    <w:multiLevelType w:val="hybridMultilevel"/>
    <w:lvl w:ilvl="0">
      <w:lvlJc w:val="left"/>
      <w:lvlText w:val="(%1)"/>
      <w:numFmt w:val="lowerLetter"/>
      <w:start w:val="1"/>
    </w:lvl>
  </w:abstractNum>
  <w:abstractNum w:abstractNumId="120">
    <w:nsid w:val="63F37E85"/>
    <w:multiLevelType w:val="hybridMultilevel"/>
    <w:lvl w:ilvl="0">
      <w:lvlJc w:val="left"/>
      <w:lvlText w:val="%1"/>
      <w:numFmt w:val="decimal"/>
      <w:start w:val="1"/>
    </w:lvl>
    <w:lvl w:ilvl="1">
      <w:lvlJc w:val="left"/>
      <w:lvlText w:val="(%2)"/>
      <w:numFmt w:val="lowerLetter"/>
      <w:start w:val="2"/>
    </w:lvl>
  </w:abstractNum>
  <w:abstractNum w:abstractNumId="121">
    <w:nsid w:val="5895F5FA"/>
    <w:multiLevelType w:val="hybridMultilevel"/>
    <w:lvl w:ilvl="0">
      <w:lvlJc w:val="left"/>
      <w:lvlText w:val="%1."/>
      <w:numFmt w:val="decimal"/>
      <w:start w:val="5"/>
    </w:lvl>
    <w:lvl w:ilvl="1">
      <w:lvlJc w:val="left"/>
      <w:lvlText w:val="%2"/>
      <w:numFmt w:val="lowerLetter"/>
      <w:start w:val="1"/>
    </w:lvl>
  </w:abstractNum>
  <w:abstractNum w:abstractNumId="122">
    <w:nsid w:val="38A5D054"/>
    <w:multiLevelType w:val="hybridMultilevel"/>
    <w:lvl w:ilvl="0">
      <w:lvlJc w:val="left"/>
      <w:lvlText w:val="(%1)"/>
      <w:numFmt w:val="lowerLetter"/>
      <w:start w:val="1"/>
    </w:lvl>
  </w:abstractNum>
  <w:abstractNum w:abstractNumId="123">
    <w:nsid w:val="F3F09D8"/>
    <w:multiLevelType w:val="hybridMultilevel"/>
    <w:lvl w:ilvl="0">
      <w:lvlJc w:val="left"/>
      <w:lvlText w:val="%1"/>
      <w:numFmt w:val="decimal"/>
      <w:start w:val="1"/>
    </w:lvl>
    <w:lvl w:ilvl="1">
      <w:lvlJc w:val="left"/>
      <w:lvlText w:val="(%2)"/>
      <w:numFmt w:val="lowerLetter"/>
      <w:start w:val="1"/>
    </w:lvl>
  </w:abstractNum>
  <w:abstractNum w:abstractNumId="124">
    <w:nsid w:val="4B793735"/>
    <w:multiLevelType w:val="hybridMultilevel"/>
    <w:lvl w:ilvl="0">
      <w:lvlJc w:val="left"/>
      <w:lvlText w:val="%1."/>
      <w:numFmt w:val="decimal"/>
      <w:start w:val="6"/>
    </w:lvl>
    <w:lvl w:ilvl="1">
      <w:lvlJc w:val="left"/>
      <w:lvlText w:val="%2"/>
      <w:numFmt w:val="lowerLetter"/>
      <w:start w:val="1"/>
    </w:lvl>
  </w:abstractNum>
  <w:abstractNum w:abstractNumId="125">
    <w:nsid w:val="4A10B4E8"/>
    <w:multiLevelType w:val="hybridMultilevel"/>
    <w:lvl w:ilvl="0">
      <w:lvlJc w:val="left"/>
      <w:lvlText w:val="(%1)"/>
      <w:numFmt w:val="lowerLetter"/>
      <w:start w:val="1"/>
    </w:lvl>
  </w:abstractNum>
  <w:abstractNum w:abstractNumId="126">
    <w:nsid w:val="43D3BCD4"/>
    <w:multiLevelType w:val="hybridMultilevel"/>
    <w:lvl w:ilvl="0">
      <w:lvlJc w:val="left"/>
      <w:lvlText w:val="(%1)"/>
      <w:numFmt w:val="lowerLetter"/>
      <w:start w:val="1"/>
    </w:lvl>
  </w:abstractNum>
  <w:abstractNum w:abstractNumId="127">
    <w:nsid w:val="4C2A7166"/>
    <w:multiLevelType w:val="hybridMultilevel"/>
    <w:lvl w:ilvl="0">
      <w:lvlJc w:val="left"/>
      <w:lvlText w:val="(%1)"/>
      <w:numFmt w:val="lowerLetter"/>
      <w:start w:val="1"/>
    </w:lvl>
    <w:lvl w:ilvl="1">
      <w:lvlJc w:val="left"/>
      <w:lvlText w:val="(%2)"/>
      <w:numFmt w:val="lowerRoman"/>
      <w:start w:val="1"/>
    </w:lvl>
  </w:abstractNum>
  <w:abstractNum w:abstractNumId="128">
    <w:nsid w:val="2E534A82"/>
    <w:multiLevelType w:val="hybridMultilevel"/>
    <w:lvl w:ilvl="0">
      <w:lvlJc w:val="left"/>
      <w:lvlText w:val="%1."/>
      <w:numFmt w:val="decimal"/>
      <w:start w:val="7"/>
    </w:lvl>
  </w:abstractNum>
  <w:abstractNum w:abstractNumId="129">
    <w:nsid w:val="26F2D364"/>
    <w:multiLevelType w:val="hybridMultilevel"/>
    <w:lvl w:ilvl="0">
      <w:lvlJc w:val="left"/>
      <w:lvlText w:val="(%1)"/>
      <w:numFmt w:val="lowerLetter"/>
      <w:start w:val="1"/>
    </w:lvl>
  </w:abstractNum>
  <w:abstractNum w:abstractNumId="130">
    <w:nsid w:val="71C1AF98"/>
    <w:multiLevelType w:val="hybridMultilevel"/>
    <w:lvl w:ilvl="0">
      <w:lvlJc w:val="left"/>
      <w:lvlText w:val="%1."/>
      <w:numFmt w:val="decimal"/>
      <w:start w:val="8"/>
    </w:lvl>
  </w:abstractNum>
  <w:abstractNum w:abstractNumId="131">
    <w:nsid w:val="3D00B9D9"/>
    <w:multiLevelType w:val="hybridMultilevel"/>
    <w:lvl w:ilvl="0">
      <w:lvlJc w:val="left"/>
      <w:lvlText w:val="(%1)"/>
      <w:numFmt w:val="lowerLetter"/>
      <w:start w:val="1"/>
    </w:lvl>
  </w:abstractNum>
  <w:abstractNum w:abstractNumId="132">
    <w:nsid w:val="15BCABA8"/>
    <w:multiLevelType w:val="hybridMultilevel"/>
    <w:lvl w:ilvl="0">
      <w:lvlJc w:val="left"/>
      <w:lvlText w:val="(%1)"/>
      <w:numFmt w:val="lowerLetter"/>
      <w:start w:val="1"/>
    </w:lvl>
    <w:lvl w:ilvl="1">
      <w:lvlJc w:val="left"/>
      <w:lvlText w:val="(%2)"/>
      <w:numFmt w:val="lowerRoman"/>
      <w:start w:val="1"/>
    </w:lvl>
  </w:abstractNum>
  <w:abstractNum w:abstractNumId="133">
    <w:nsid w:val="4E0B9A87"/>
    <w:multiLevelType w:val="hybridMultilevel"/>
    <w:lvl w:ilvl="0">
      <w:lvlJc w:val="left"/>
      <w:lvlText w:val="%1."/>
      <w:numFmt w:val="decimal"/>
      <w:start w:val="9"/>
    </w:lvl>
  </w:abstractNum>
  <w:abstractNum w:abstractNumId="134">
    <w:nsid w:val="434BAE75"/>
    <w:multiLevelType w:val="hybridMultilevel"/>
    <w:lvl w:ilvl="0">
      <w:lvlJc w:val="left"/>
      <w:lvlText w:val="%1."/>
      <w:numFmt w:val="decimal"/>
      <w:start w:val="10"/>
    </w:lvl>
  </w:abstractNum>
  <w:abstractNum w:abstractNumId="135">
    <w:nsid w:val="4F38F2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6">
    <w:nsid w:val="4C502870"/>
    <w:multiLevelType w:val="hybridMultilevel"/>
    <w:lvl w:ilvl="0">
      <w:lvlJc w:val="left"/>
      <w:lvlText w:val="(%1)"/>
      <w:numFmt w:val="lowerLetter"/>
      <w:start w:val="1"/>
    </w:lvl>
  </w:abstractNum>
  <w:abstractNum w:abstractNumId="137">
    <w:nsid w:val="1DE8725A"/>
    <w:multiLevelType w:val="hybridMultilevel"/>
    <w:lvl w:ilvl="0">
      <w:lvlJc w:val="left"/>
      <w:lvlText w:val="%1."/>
      <w:numFmt w:val="decimal"/>
      <w:start w:val="11"/>
    </w:lvl>
  </w:abstractNum>
  <w:abstractNum w:abstractNumId="138">
    <w:nsid w:val="6A37288A"/>
    <w:multiLevelType w:val="hybridMultilevel"/>
    <w:lvl w:ilvl="0">
      <w:lvlJc w:val="left"/>
      <w:lvlText w:val="%1."/>
      <w:numFmt w:val="decimal"/>
      <w:start w:val="1"/>
    </w:lvl>
  </w:abstractNum>
  <w:abstractNum w:abstractNumId="139">
    <w:nsid w:val="8F8B73F"/>
    <w:multiLevelType w:val="hybridMultilevel"/>
    <w:lvl w:ilvl="0">
      <w:lvlJc w:val="left"/>
      <w:lvlText w:val="(%1)"/>
      <w:numFmt w:val="lowerLetter"/>
      <w:start w:val="1"/>
    </w:lvl>
  </w:abstractNum>
  <w:abstractNum w:abstractNumId="140">
    <w:nsid w:val="CA6B462"/>
    <w:multiLevelType w:val="hybridMultilevel"/>
    <w:lvl w:ilvl="0">
      <w:lvlJc w:val="left"/>
      <w:lvlText w:val="(%1)"/>
      <w:numFmt w:val="lowerLetter"/>
      <w:start w:val="4"/>
    </w:lvl>
    <w:lvl w:ilvl="1">
      <w:lvlJc w:val="left"/>
      <w:lvlText w:val="(%2)"/>
      <w:numFmt w:val="lowerRoman"/>
      <w:start w:val="1"/>
    </w:lvl>
  </w:abstractNum>
  <w:abstractNum w:abstractNumId="141">
    <w:nsid w:val="763CB680"/>
    <w:multiLevelType w:val="hybridMultilevel"/>
    <w:lvl w:ilvl="0">
      <w:lvlJc w:val="left"/>
      <w:lvlText w:val="(%1)"/>
      <w:numFmt w:val="lowerLetter"/>
      <w:start w:val="1"/>
    </w:lvl>
  </w:abstractNum>
  <w:abstractNum w:abstractNumId="142">
    <w:nsid w:val="15B71329"/>
    <w:multiLevelType w:val="hybridMultilevel"/>
    <w:lvl w:ilvl="0">
      <w:lvlJc w:val="left"/>
      <w:lvlText w:val="(%1)"/>
      <w:numFmt w:val="lowerLetter"/>
      <w:start w:val="1"/>
    </w:lvl>
  </w:abstractNum>
  <w:abstractNum w:abstractNumId="143">
    <w:nsid w:val="3DA97044"/>
    <w:multiLevelType w:val="hybridMultilevel"/>
    <w:lvl w:ilvl="0">
      <w:lvlJc w:val="left"/>
      <w:lvlText w:val="(%1)"/>
      <w:numFmt w:val="lowerLetter"/>
      <w:start w:val="1"/>
    </w:lvl>
  </w:abstractNum>
  <w:abstractNum w:abstractNumId="144">
    <w:nsid w:val="1CDCE2DE"/>
    <w:multiLevelType w:val="hybridMultilevel"/>
    <w:lvl w:ilvl="0">
      <w:lvlJc w:val="left"/>
      <w:lvlText w:val="(%1)"/>
      <w:numFmt w:val="lowerLetter"/>
      <w:start w:val="1"/>
    </w:lvl>
  </w:abstractNum>
  <w:abstractNum w:abstractNumId="145">
    <w:nsid w:val="69D3947C"/>
    <w:multiLevelType w:val="hybridMultilevel"/>
    <w:lvl w:ilvl="0">
      <w:lvlJc w:val="left"/>
      <w:lvlText w:val="(%1)"/>
      <w:numFmt w:val="lowerLetter"/>
      <w:start w:val="1"/>
    </w:lvl>
  </w:abstractNum>
  <w:abstractNum w:abstractNumId="146">
    <w:nsid w:val="2539DFA5"/>
    <w:multiLevelType w:val="hybridMultilevel"/>
    <w:lvl w:ilvl="0">
      <w:lvlJc w:val="left"/>
      <w:lvlText w:val="%1."/>
      <w:numFmt w:val="decimal"/>
      <w:start w:val="2"/>
    </w:lvl>
  </w:abstractNum>
  <w:abstractNum w:abstractNumId="147">
    <w:nsid w:val="2DB88089"/>
    <w:multiLevelType w:val="hybridMultilevel"/>
    <w:lvl w:ilvl="0">
      <w:lvlJc w:val="left"/>
      <w:lvlText w:val="(%1)"/>
      <w:numFmt w:val="lowerLetter"/>
      <w:start w:val="1"/>
    </w:lvl>
  </w:abstractNum>
  <w:abstractNum w:abstractNumId="148">
    <w:nsid w:val="706B674E"/>
    <w:multiLevelType w:val="hybridMultilevel"/>
    <w:lvl w:ilvl="0">
      <w:lvlJc w:val="left"/>
      <w:lvlText w:val="(%1)"/>
      <w:numFmt w:val="lowerLetter"/>
      <w:start w:val="1"/>
    </w:lvl>
  </w:abstractNum>
  <w:abstractNum w:abstractNumId="149">
    <w:nsid w:val="2C106A57"/>
    <w:multiLevelType w:val="hybridMultilevel"/>
    <w:lvl w:ilvl="0">
      <w:lvlJc w:val="left"/>
      <w:lvlText w:val="(%1)"/>
      <w:numFmt w:val="lowerLetter"/>
      <w:start w:val="2"/>
    </w:lvl>
    <w:lvl w:ilvl="1">
      <w:lvlJc w:val="left"/>
      <w:lvlText w:val="(%2)"/>
      <w:numFmt w:val="lowerRoman"/>
      <w:start w:val="1"/>
    </w:lvl>
  </w:abstractNum>
  <w:abstractNum w:abstractNumId="150">
    <w:nsid w:val="684EED59"/>
    <w:multiLevelType w:val="hybridMultilevel"/>
    <w:lvl w:ilvl="0">
      <w:lvlJc w:val="left"/>
      <w:lvlText w:val="(%1)"/>
      <w:numFmt w:val="lowerLetter"/>
      <w:start w:val="1"/>
    </w:lvl>
  </w:abstractNum>
  <w:abstractNum w:abstractNumId="151">
    <w:nsid w:val="545EE5D3"/>
    <w:multiLevelType w:val="hybridMultilevel"/>
    <w:lvl w:ilvl="0">
      <w:lvlJc w:val="left"/>
      <w:lvlText w:val="(%1)"/>
      <w:numFmt w:val="lowerLetter"/>
      <w:start w:val="1"/>
    </w:lvl>
  </w:abstractNum>
  <w:abstractNum w:abstractNumId="152">
    <w:nsid w:val="4A66051"/>
    <w:multiLevelType w:val="hybridMultilevel"/>
    <w:lvl w:ilvl="0">
      <w:lvlJc w:val="left"/>
      <w:lvlText w:val="(%1)"/>
      <w:numFmt w:val="lowerLetter"/>
      <w:start w:val="1"/>
    </w:lvl>
    <w:lvl w:ilvl="1">
      <w:lvlJc w:val="left"/>
      <w:lvlText w:val="(%2)"/>
      <w:numFmt w:val="lowerRoman"/>
      <w:start w:val="1"/>
    </w:lvl>
  </w:abstractNum>
  <w:abstractNum w:abstractNumId="153">
    <w:nsid w:val="20F4BDAD"/>
    <w:multiLevelType w:val="hybridMultilevel"/>
    <w:lvl w:ilvl="0">
      <w:lvlJc w:val="left"/>
      <w:lvlText w:val="%1"/>
      <w:numFmt w:val="decimal"/>
      <w:start w:val="1"/>
    </w:lvl>
    <w:lvl w:ilvl="1">
      <w:lvlJc w:val="left"/>
      <w:lvlText w:val="(%2)"/>
      <w:numFmt w:val="lowerLetter"/>
      <w:start w:val="6"/>
    </w:lvl>
  </w:abstractNum>
  <w:abstractNum w:abstractNumId="154">
    <w:nsid w:val="639DEFAC"/>
    <w:multiLevelType w:val="hybridMultilevel"/>
    <w:lvl w:ilvl="0">
      <w:lvlJc w:val="left"/>
      <w:lvlText w:val="%1."/>
      <w:numFmt w:val="decimal"/>
      <w:start w:val="4"/>
    </w:lvl>
    <w:lvl w:ilvl="1">
      <w:lvlJc w:val="left"/>
      <w:lvlText w:val="%2"/>
      <w:numFmt w:val="lowerLetter"/>
      <w:start w:val="1"/>
    </w:lvl>
  </w:abstractNum>
  <w:abstractNum w:abstractNumId="155">
    <w:nsid w:val="501F9786"/>
    <w:multiLevelType w:val="hybridMultilevel"/>
    <w:lvl w:ilvl="0">
      <w:lvlJc w:val="left"/>
      <w:lvlText w:val="(%1)"/>
      <w:numFmt w:val="lowerLetter"/>
      <w:start w:val="1"/>
    </w:lvl>
  </w:abstractNum>
  <w:abstractNum w:abstractNumId="156">
    <w:nsid w:val="6B057295"/>
    <w:multiLevelType w:val="hybridMultilevel"/>
    <w:lvl w:ilvl="0">
      <w:lvlJc w:val="left"/>
      <w:lvlText w:val="%1."/>
      <w:numFmt w:val="decimal"/>
      <w:start w:val="5"/>
    </w:lvl>
  </w:abstractNum>
  <w:abstractNum w:abstractNumId="157">
    <w:nsid w:val="2771AC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8">
    <w:nsid w:val="1C4A08EC"/>
    <w:multiLevelType w:val="hybridMultilevel"/>
    <w:lvl w:ilvl="0">
      <w:lvlJc w:val="left"/>
      <w:lvlText w:val="(%1)"/>
      <w:numFmt w:val="lowerLetter"/>
      <w:start w:val="1"/>
    </w:lvl>
  </w:abstractNum>
  <w:abstractNum w:abstractNumId="159">
    <w:nsid w:val="1958BD17"/>
    <w:multiLevelType w:val="hybridMultilevel"/>
    <w:lvl w:ilvl="0">
      <w:lvlJc w:val="left"/>
      <w:lvlText w:val="%1."/>
      <w:numFmt w:val="decimal"/>
      <w:start w:val="6"/>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decimal"/>
      <w:start w:val="7"/>
    </w:lvl>
  </w:abstractNum>
  <w:abstractNum w:abstractNumId="162">
    <w:nsid w:val="565976F1"/>
    <w:multiLevelType w:val="hybridMultilevel"/>
    <w:lvl w:ilvl="0">
      <w:lvlJc w:val="left"/>
      <w:lvlText w:val="(%1)"/>
      <w:numFmt w:val="lowerLetter"/>
      <w:start w:val="1"/>
    </w:lvl>
    <w:lvl w:ilvl="1">
      <w:lvlJc w:val="left"/>
      <w:lvlText w:val="(%2)"/>
      <w:numFmt w:val="lowerRoman"/>
      <w:start w:val="1"/>
    </w:lvl>
  </w:abstractNum>
  <w:abstractNum w:abstractNumId="163">
    <w:nsid w:val="64212B8C"/>
    <w:multiLevelType w:val="hybridMultilevel"/>
    <w:lvl w:ilvl="0">
      <w:lvlJc w:val="left"/>
      <w:lvlText w:val="(%1)"/>
      <w:numFmt w:val="lowerLetter"/>
      <w:start w:val="1"/>
    </w:lvl>
    <w:lvl w:ilvl="1">
      <w:lvlJc w:val="left"/>
      <w:lvlText w:val="(%2)"/>
      <w:numFmt w:val="lowerRoman"/>
      <w:start w:val="1"/>
    </w:lvl>
  </w:abstractNum>
  <w:abstractNum w:abstractNumId="164">
    <w:nsid w:val="5C17530C"/>
    <w:multiLevelType w:val="hybridMultilevel"/>
    <w:lvl w:ilvl="0">
      <w:lvlJc w:val="left"/>
      <w:lvlText w:val="(%1)"/>
      <w:numFmt w:val="lowerRoman"/>
      <w:start w:val="2"/>
    </w:lvl>
    <w:lvl w:ilvl="1">
      <w:lvlJc w:val="left"/>
      <w:lvlText w:val="(%2)"/>
      <w:numFmt w:val="upperLetter"/>
      <w:start w:val="1"/>
    </w:lvl>
  </w:abstractNum>
  <w:abstractNum w:abstractNumId="165">
    <w:nsid w:val="19A52566"/>
    <w:multiLevelType w:val="hybridMultilevel"/>
    <w:lvl w:ilvl="0">
      <w:lvlJc w:val="left"/>
      <w:lvlText w:val="(%1)"/>
      <w:numFmt w:val="lowerLetter"/>
      <w:start w:val="1"/>
    </w:lvl>
    <w:lvl w:ilvl="1">
      <w:lvlJc w:val="left"/>
      <w:lvlText w:val="(%2)"/>
      <w:numFmt w:val="lowerRoman"/>
      <w:start w:val="1"/>
    </w:lvl>
  </w:abstractNum>
  <w:abstractNum w:abstractNumId="166">
    <w:nsid w:val="335A1D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7">
    <w:nsid w:val="28677B7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8">
    <w:nsid w:val="378D97C0"/>
    <w:multiLevelType w:val="hybridMultilevel"/>
    <w:lvl w:ilvl="0">
      <w:lvlJc w:val="left"/>
      <w:lvlText w:val="(%1)"/>
      <w:numFmt w:val="lowerLetter"/>
      <w:start w:val="1"/>
    </w:lvl>
    <w:lvl w:ilvl="1">
      <w:lvlJc w:val="left"/>
      <w:lvlText w:val="(%2)"/>
      <w:numFmt w:val="lowerRoman"/>
      <w:start w:val="1"/>
    </w:lvl>
  </w:abstractNum>
  <w:abstractNum w:abstractNumId="169">
    <w:nsid w:val="1D91467C"/>
    <w:multiLevelType w:val="hybridMultilevel"/>
    <w:lvl w:ilvl="0">
      <w:lvlJc w:val="left"/>
      <w:lvlText w:val="(%1)"/>
      <w:numFmt w:val="lowerLetter"/>
      <w:start w:val="2"/>
    </w:lvl>
  </w:abstractNum>
  <w:abstractNum w:abstractNumId="170">
    <w:nsid w:val="316032BB"/>
    <w:multiLevelType w:val="hybridMultilevel"/>
    <w:lvl w:ilvl="0">
      <w:lvlJc w:val="left"/>
      <w:lvlText w:val="(%1)"/>
      <w:numFmt w:val="lowerLetter"/>
      <w:start w:val="1"/>
    </w:lvl>
    <w:lvl w:ilvl="1">
      <w:lvlJc w:val="left"/>
      <w:lvlText w:val="(%2)"/>
      <w:numFmt w:val="lowerRoman"/>
      <w:start w:val="1"/>
    </w:lvl>
  </w:abstractNum>
  <w:abstractNum w:abstractNumId="171">
    <w:nsid w:val="44344C22"/>
    <w:multiLevelType w:val="hybridMultilevel"/>
    <w:lvl w:ilvl="0">
      <w:lvlJc w:val="left"/>
      <w:lvlText w:val="%1."/>
      <w:numFmt w:val="decimal"/>
      <w:start w:val="9"/>
    </w:lvl>
  </w:abstractNum>
  <w:abstractNum w:abstractNumId="172">
    <w:nsid w:val="13CDFCFC"/>
    <w:multiLevelType w:val="hybridMultilevel"/>
    <w:lvl w:ilvl="0">
      <w:lvlJc w:val="left"/>
      <w:lvlText w:val="(%1)"/>
      <w:numFmt w:val="lowerLetter"/>
      <w:start w:val="1"/>
    </w:lvl>
    <w:lvl w:ilvl="1">
      <w:lvlJc w:val="left"/>
      <w:lvlText w:val="(%2)"/>
      <w:numFmt w:val="lowerRoman"/>
      <w:start w:val="1"/>
    </w:lvl>
  </w:abstractNum>
  <w:abstractNum w:abstractNumId="173">
    <w:nsid w:val="471745E4"/>
    <w:multiLevelType w:val="hybridMultilevel"/>
    <w:lvl w:ilvl="0">
      <w:lvlJc w:val="left"/>
      <w:lvlText w:val="(%1)"/>
      <w:numFmt w:val="lowerLetter"/>
      <w:start w:val="2"/>
    </w:lvl>
    <w:lvl w:ilvl="1">
      <w:lvlJc w:val="left"/>
      <w:lvlText w:val="(%2)"/>
      <w:numFmt w:val="lowerRoman"/>
      <w:start w:val="1"/>
    </w:lvl>
  </w:abstractNum>
  <w:abstractNum w:abstractNumId="174">
    <w:nsid w:val="1DDBC66"/>
    <w:multiLevelType w:val="hybridMultilevel"/>
    <w:lvl w:ilvl="0">
      <w:lvlJc w:val="left"/>
      <w:lvlText w:val="(%1)"/>
      <w:numFmt w:val="lowerLetter"/>
      <w:start w:val="1"/>
    </w:lvl>
  </w:abstractNum>
  <w:abstractNum w:abstractNumId="175">
    <w:nsid w:val="30AADFDA"/>
    <w:multiLevelType w:val="hybridMultilevel"/>
    <w:lvl w:ilvl="0">
      <w:lvlJc w:val="left"/>
      <w:lvlText w:val="%1"/>
      <w:numFmt w:val="decimal"/>
      <w:start w:val="1"/>
    </w:lvl>
    <w:lvl w:ilvl="1">
      <w:lvlJc w:val="left"/>
      <w:lvlText w:val="(%2)"/>
      <w:numFmt w:val="lowerLetter"/>
      <w:start w:val="1"/>
    </w:lvl>
  </w:abstractNum>
  <w:abstractNum w:abstractNumId="176">
    <w:nsid w:val="30EADA61"/>
    <w:multiLevelType w:val="hybridMultilevel"/>
    <w:lvl w:ilvl="0">
      <w:lvlJc w:val="left"/>
      <w:lvlText w:val="%1."/>
      <w:numFmt w:val="decimal"/>
      <w:start w:val="10"/>
    </w:lvl>
    <w:lvl w:ilvl="1">
      <w:lvlJc w:val="left"/>
      <w:lvlText w:val="%2"/>
      <w:numFmt w:val="lowerLetter"/>
      <w:start w:val="1"/>
    </w:lvl>
  </w:abstractNum>
  <w:abstractNum w:abstractNumId="177">
    <w:nsid w:val="27179C0B"/>
    <w:multiLevelType w:val="hybridMultilevel"/>
    <w:lvl w:ilvl="0">
      <w:lvlJc w:val="left"/>
      <w:lvlText w:val="(%1)"/>
      <w:numFmt w:val="lowerLetter"/>
      <w:start w:val="1"/>
    </w:lvl>
    <w:lvl w:ilvl="1">
      <w:lvlJc w:val="left"/>
      <w:lvlText w:val="(%2)"/>
      <w:numFmt w:val="lowerRoman"/>
      <w:start w:val="1"/>
    </w:lvl>
  </w:abstractNum>
  <w:abstractNum w:abstractNumId="178">
    <w:nsid w:val="5E636063"/>
    <w:multiLevelType w:val="hybridMultilevel"/>
    <w:lvl w:ilvl="0">
      <w:lvlJc w:val="left"/>
      <w:lvlText w:val="(%1)"/>
      <w:numFmt w:val="lowerLetter"/>
      <w:start w:val="2"/>
    </w:lvl>
  </w:abstractNum>
  <w:abstractNum w:abstractNumId="179">
    <w:nsid w:val="215641AF"/>
    <w:multiLevelType w:val="hybridMultilevel"/>
    <w:lvl w:ilvl="0">
      <w:lvlJc w:val="left"/>
      <w:lvlText w:val="(%1)"/>
      <w:numFmt w:val="lowerLetter"/>
      <w:start w:val="1"/>
    </w:lvl>
  </w:abstractNum>
  <w:abstractNum w:abstractNumId="180">
    <w:nsid w:val="53280662"/>
    <w:multiLevelType w:val="hybridMultilevel"/>
    <w:lvl w:ilvl="0">
      <w:lvlJc w:val="left"/>
      <w:lvlText w:val="%1"/>
      <w:numFmt w:val="decimal"/>
      <w:start w:val="1"/>
    </w:lvl>
    <w:lvl w:ilvl="1">
      <w:lvlJc w:val="left"/>
      <w:lvlText w:val="(%2)"/>
      <w:numFmt w:val="lowerLetter"/>
      <w:start w:val="1"/>
    </w:lvl>
  </w:abstractNum>
  <w:abstractNum w:abstractNumId="181">
    <w:nsid w:val="46B24DBC"/>
    <w:multiLevelType w:val="hybridMultilevel"/>
    <w:lvl w:ilvl="0">
      <w:lvlJc w:val="left"/>
      <w:lvlText w:val="%1."/>
      <w:numFmt w:val="decimal"/>
      <w:start w:val="11"/>
    </w:lvl>
    <w:lvl w:ilvl="1">
      <w:lvlJc w:val="left"/>
      <w:lvlText w:val="%2"/>
      <w:numFmt w:val="lowerLetter"/>
      <w:start w:val="1"/>
    </w:lvl>
  </w:abstractNum>
  <w:abstractNum w:abstractNumId="182">
    <w:nsid w:val="75B52783"/>
    <w:multiLevelType w:val="hybridMultilevel"/>
    <w:lvl w:ilvl="0">
      <w:lvlJc w:val="left"/>
      <w:lvlText w:val="(%1)"/>
      <w:numFmt w:val="lowerLetter"/>
      <w:start w:val="1"/>
    </w:lvl>
    <w:lvl w:ilvl="1">
      <w:lvlJc w:val="left"/>
      <w:lvlText w:val="(%2)"/>
      <w:numFmt w:val="lowerRoman"/>
      <w:start w:val="1"/>
    </w:lvl>
  </w:abstractNum>
  <w:abstractNum w:abstractNumId="183">
    <w:nsid w:val="57CE66B4"/>
    <w:multiLevelType w:val="hybridMultilevel"/>
    <w:lvl w:ilvl="0">
      <w:lvlJc w:val="left"/>
      <w:lvlText w:val="(%1)"/>
      <w:numFmt w:val="lowerLetter"/>
      <w:start w:val="1"/>
    </w:lvl>
    <w:lvl w:ilvl="1">
      <w:lvlJc w:val="left"/>
      <w:lvlText w:val="(%2)"/>
      <w:numFmt w:val="lowerRoman"/>
      <w:start w:val="1"/>
    </w:lvl>
  </w:abstractNum>
  <w:abstractNum w:abstractNumId="184">
    <w:nsid w:val="67A70B69"/>
    <w:multiLevelType w:val="hybridMultilevel"/>
    <w:lvl w:ilvl="0">
      <w:lvlJc w:val="left"/>
      <w:lvlText w:val="(%1)"/>
      <w:numFmt w:val="lowerLetter"/>
      <w:start w:val="1"/>
    </w:lvl>
  </w:abstractNum>
  <w:abstractNum w:abstractNumId="185">
    <w:nsid w:val="5953172F"/>
    <w:multiLevelType w:val="hybridMultilevel"/>
    <w:lvl w:ilvl="0">
      <w:lvlJc w:val="left"/>
      <w:lvlText w:val="(%1)"/>
      <w:numFmt w:val="lowerLetter"/>
      <w:start w:val="1"/>
    </w:lvl>
  </w:abstractNum>
  <w:abstractNum w:abstractNumId="186">
    <w:nsid w:val="27EDFE3A"/>
    <w:multiLevelType w:val="hybridMultilevel"/>
    <w:lvl w:ilvl="0">
      <w:lvlJc w:val="left"/>
      <w:lvlText w:val="(%1)"/>
      <w:numFmt w:val="lowerLetter"/>
      <w:start w:val="3"/>
    </w:lvl>
  </w:abstractNum>
  <w:abstractNum w:abstractNumId="187">
    <w:nsid w:val="52AC7DFF"/>
    <w:multiLevelType w:val="hybridMultilevel"/>
    <w:lvl w:ilvl="0">
      <w:lvlJc w:val="left"/>
      <w:lvlText w:val="(%1)"/>
      <w:numFmt w:val="lowerLetter"/>
      <w:start w:val="1"/>
    </w:lvl>
    <w:lvl w:ilvl="1">
      <w:lvlJc w:val="left"/>
      <w:lvlText w:val="(%2)"/>
      <w:numFmt w:val="lowerRoman"/>
      <w:start w:val="1"/>
    </w:lvl>
  </w:abstractNum>
  <w:abstractNum w:abstractNumId="188">
    <w:nsid w:val="C4C3AF"/>
    <w:multiLevelType w:val="hybridMultilevel"/>
    <w:lvl w:ilvl="0">
      <w:lvlJc w:val="left"/>
      <w:lvlText w:val="(%1)"/>
      <w:numFmt w:val="lowerLetter"/>
      <w:start w:val="1"/>
    </w:lvl>
  </w:abstractNum>
  <w:abstractNum w:abstractNumId="189">
    <w:nsid w:val="44380727"/>
    <w:multiLevelType w:val="hybridMultilevel"/>
    <w:lvl w:ilvl="0">
      <w:lvlJc w:val="left"/>
      <w:lvlText w:val="(%1)"/>
      <w:numFmt w:val="lowerLetter"/>
      <w:start w:val="1"/>
    </w:lvl>
    <w:lvl w:ilvl="1">
      <w:lvlJc w:val="left"/>
      <w:lvlText w:val="(%2)"/>
      <w:numFmt w:val="lowerRoman"/>
      <w:start w:val="1"/>
    </w:lvl>
  </w:abstractNum>
  <w:abstractNum w:abstractNumId="190">
    <w:nsid w:val="6C053B16"/>
    <w:multiLevelType w:val="hybridMultilevel"/>
    <w:lvl w:ilvl="0">
      <w:lvlJc w:val="left"/>
      <w:lvlText w:val="(%1)"/>
      <w:numFmt w:val="lowerLetter"/>
      <w:start w:val="2"/>
    </w:lvl>
  </w:abstractNum>
  <w:abstractNum w:abstractNumId="191">
    <w:nsid w:val="4F294393"/>
    <w:multiLevelType w:val="hybridMultilevel"/>
    <w:lvl w:ilvl="0">
      <w:lvlJc w:val="left"/>
      <w:lvlText w:val="(%1)"/>
      <w:numFmt w:val="lowerLetter"/>
      <w:start w:val="4"/>
    </w:lvl>
  </w:abstractNum>
  <w:abstractNum w:abstractNumId="192">
    <w:nsid w:val="5243BFAC"/>
    <w:multiLevelType w:val="hybridMultilevel"/>
    <w:lvl w:ilvl="0">
      <w:lvlJc w:val="left"/>
      <w:lvlText w:val="(%1)"/>
      <w:numFmt w:val="lowerLetter"/>
      <w:start w:val="1"/>
    </w:lvl>
    <w:lvl w:ilvl="1">
      <w:lvlJc w:val="left"/>
      <w:lvlText w:val="(%2)"/>
      <w:numFmt w:val="lowerRoman"/>
      <w:start w:val="1"/>
    </w:lvl>
  </w:abstractNum>
  <w:abstractNum w:abstractNumId="193">
    <w:nsid w:val="425EB207"/>
    <w:multiLevelType w:val="hybridMultilevel"/>
    <w:lvl w:ilvl="0">
      <w:lvlJc w:val="left"/>
      <w:lvlText w:val="(%1)"/>
      <w:numFmt w:val="lowerLetter"/>
      <w:start w:val="5"/>
    </w:lvl>
  </w:abstractNum>
  <w:abstractNum w:abstractNumId="194">
    <w:nsid w:val="334A6F1F"/>
    <w:multiLevelType w:val="hybridMultilevel"/>
    <w:lvl w:ilvl="0">
      <w:lvlJc w:val="left"/>
      <w:lvlText w:val="(%1)"/>
      <w:numFmt w:val="lowerLetter"/>
      <w:start w:val="1"/>
    </w:lvl>
  </w:abstractNum>
  <w:abstractNum w:abstractNumId="195">
    <w:nsid w:val="2E5B12B8"/>
    <w:multiLevelType w:val="hybridMultilevel"/>
    <w:lvl w:ilvl="0">
      <w:lvlJc w:val="left"/>
      <w:lvlText w:val="(%1)"/>
      <w:numFmt w:val="lowerLetter"/>
      <w:start w:val="1"/>
    </w:lvl>
    <w:lvl w:ilvl="1">
      <w:lvlJc w:val="left"/>
      <w:lvlText w:val="(%2)"/>
      <w:numFmt w:val="lowerRoman"/>
      <w:start w:val="1"/>
    </w:lvl>
  </w:abstractNum>
  <w:abstractNum w:abstractNumId="196">
    <w:nsid w:val="5C03D76D"/>
    <w:multiLevelType w:val="hybridMultilevel"/>
    <w:lvl w:ilvl="0">
      <w:lvlJc w:val="left"/>
      <w:lvlText w:val="(%1)"/>
      <w:numFmt w:val="lowerLetter"/>
      <w:start w:val="6"/>
    </w:lvl>
  </w:abstractNum>
  <w:abstractNum w:abstractNumId="197">
    <w:nsid w:val="66A48D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8">
    <w:nsid w:val="56C28E34"/>
    <w:multiLevelType w:val="hybridMultilevel"/>
    <w:lvl w:ilvl="0">
      <w:lvlJc w:val="left"/>
      <w:lvlText w:val="%1"/>
      <w:numFmt w:val="lowerLetter"/>
      <w:start w:val="1"/>
    </w:lvl>
    <w:lvl w:ilvl="1">
      <w:lvlJc w:val="left"/>
      <w:lvlText w:val="(%2)"/>
      <w:numFmt w:val="lowerLetter"/>
      <w:start w:val="35"/>
    </w:lvl>
  </w:abstractNum>
  <w:abstractNum w:abstractNumId="199">
    <w:nsid w:val="13916F2D"/>
    <w:multiLevelType w:val="hybridMultilevel"/>
    <w:lvl w:ilvl="0">
      <w:lvlJc w:val="left"/>
      <w:lvlText w:val="(%1)"/>
      <w:numFmt w:val="lowerLetter"/>
      <w:start w:val="2"/>
    </w:lvl>
    <w:lvl w:ilvl="1">
      <w:lvlJc w:val="left"/>
      <w:lvlText w:val="%2"/>
      <w:numFmt w:val="lowerLetter"/>
      <w:start w:val="1"/>
    </w:lvl>
  </w:abstractNum>
  <w:abstractNum w:abstractNumId="200">
    <w:nsid w:val="435D38D"/>
    <w:multiLevelType w:val="hybridMultilevel"/>
    <w:lvl w:ilvl="0">
      <w:lvlJc w:val="left"/>
      <w:lvlText w:val="(%1)"/>
      <w:numFmt w:val="lowerLetter"/>
      <w:start w:val="1"/>
    </w:lvl>
    <w:lvl w:ilvl="1">
      <w:lvlJc w:val="left"/>
      <w:lvlText w:val="(%2)"/>
      <w:numFmt w:val="lowerRoman"/>
      <w:start w:val="1"/>
    </w:lvl>
  </w:abstractNum>
  <w:abstractNum w:abstractNumId="201">
    <w:nsid w:val="822C0EF"/>
    <w:multiLevelType w:val="hybridMultilevel"/>
    <w:lvl w:ilvl="0">
      <w:lvlJc w:val="left"/>
      <w:lvlText w:val="(%1)"/>
      <w:numFmt w:val="lowerLetter"/>
      <w:start w:val="1"/>
    </w:lvl>
    <w:lvl w:ilvl="1">
      <w:lvlJc w:val="left"/>
      <w:lvlText w:val="(%2)"/>
      <w:numFmt w:val="lowerRoman"/>
      <w:start w:val="1"/>
    </w:lvl>
  </w:abstractNum>
  <w:abstractNum w:abstractNumId="202">
    <w:nsid w:val="57C5B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3">
    <w:nsid w:val="1803D08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04">
    <w:nsid w:val="4F3A06D4"/>
    <w:multiLevelType w:val="hybridMultilevel"/>
    <w:lvl w:ilvl="0">
      <w:lvlJc w:val="left"/>
      <w:lvlText w:val="(%1)"/>
      <w:numFmt w:val="lowerLetter"/>
      <w:start w:val="1"/>
    </w:lvl>
  </w:abstractNum>
  <w:abstractNum w:abstractNumId="205">
    <w:nsid w:val="59A377B6"/>
    <w:multiLevelType w:val="hybridMultilevel"/>
    <w:lvl w:ilvl="0">
      <w:lvlJc w:val="left"/>
      <w:lvlText w:val="(%1)"/>
      <w:numFmt w:val="lowerLetter"/>
      <w:start w:val="1"/>
    </w:lvl>
    <w:lvl w:ilvl="1">
      <w:lvlJc w:val="left"/>
      <w:lvlText w:val="(%2)"/>
      <w:numFmt w:val="lowerRoman"/>
      <w:start w:val="1"/>
    </w:lvl>
  </w:abstractNum>
  <w:abstractNum w:abstractNumId="206">
    <w:nsid w:val="48AEB063"/>
    <w:multiLevelType w:val="hybridMultilevel"/>
    <w:lvl w:ilvl="0">
      <w:lvlJc w:val="left"/>
      <w:lvlText w:val="(%1)"/>
      <w:numFmt w:val="lowerLetter"/>
      <w:start w:val="2"/>
    </w:lvl>
  </w:abstractNum>
  <w:abstractNum w:abstractNumId="207">
    <w:nsid w:val="24E135"/>
    <w:multiLevelType w:val="hybridMultilevel"/>
    <w:lvl w:ilvl="0">
      <w:lvlJc w:val="left"/>
      <w:lvlText w:val="(%1)"/>
      <w:numFmt w:val="lowerLetter"/>
      <w:start w:val="1"/>
    </w:lvl>
    <w:lvl w:ilvl="1">
      <w:lvlJc w:val="left"/>
      <w:lvlText w:val="(%2)"/>
      <w:numFmt w:val="lowerRoman"/>
      <w:start w:val="1"/>
    </w:lvl>
  </w:abstractNum>
  <w:abstractNum w:abstractNumId="208">
    <w:nsid w:val="BB13C1"/>
    <w:multiLevelType w:val="hybridMultilevel"/>
    <w:lvl w:ilvl="0">
      <w:lvlJc w:val="left"/>
      <w:lvlText w:val="(%1)"/>
      <w:numFmt w:val="lowerLetter"/>
      <w:start w:val="1"/>
    </w:lvl>
  </w:abstractNum>
  <w:abstractNum w:abstractNumId="209">
    <w:nsid w:val="271210C7"/>
    <w:multiLevelType w:val="hybridMultilevel"/>
    <w:lvl w:ilvl="0">
      <w:lvlJc w:val="left"/>
      <w:lvlText w:val="(%1)"/>
      <w:numFmt w:val="lowerLetter"/>
      <w:start w:val="3"/>
    </w:lvl>
  </w:abstractNum>
  <w:abstractNum w:abstractNumId="210">
    <w:nsid w:val="217B22E4"/>
    <w:multiLevelType w:val="hybridMultilevel"/>
    <w:lvl w:ilvl="0">
      <w:lvlJc w:val="left"/>
      <w:lvlText w:val="(%1)"/>
      <w:numFmt w:val="lowerLetter"/>
      <w:start w:val="1"/>
    </w:lvl>
    <w:lvl w:ilvl="1">
      <w:lvlJc w:val="left"/>
      <w:lvlText w:val="(%2)"/>
      <w:numFmt w:val="lowerRoman"/>
      <w:start w:val="1"/>
    </w:lvl>
  </w:abstractNum>
  <w:abstractNum w:abstractNumId="211">
    <w:nsid w:val="53E31A24"/>
    <w:multiLevelType w:val="hybridMultilevel"/>
    <w:lvl w:ilvl="0">
      <w:lvlJc w:val="left"/>
      <w:lvlText w:val="(%1)"/>
      <w:numFmt w:val="lowerLetter"/>
      <w:start w:val="4"/>
    </w:lvl>
    <w:lvl w:ilvl="1">
      <w:lvlJc w:val="left"/>
      <w:lvlText w:val="(%2)"/>
      <w:numFmt w:val="lowerRoman"/>
      <w:start w:val="1"/>
    </w:lvl>
  </w:abstractNum>
  <w:abstractNum w:abstractNumId="212">
    <w:nsid w:val="6DC45E83"/>
    <w:multiLevelType w:val="hybridMultilevel"/>
    <w:lvl w:ilvl="0">
      <w:lvlJc w:val="left"/>
      <w:lvlText w:val="(%1)"/>
      <w:numFmt w:val="lowerRoman"/>
      <w:start w:val="3"/>
    </w:lvl>
  </w:abstractNum>
  <w:abstractNum w:abstractNumId="213">
    <w:nsid w:val="17304A67"/>
    <w:multiLevelType w:val="hybridMultilevel"/>
    <w:lvl w:ilvl="0">
      <w:lvlJc w:val="left"/>
      <w:lvlText w:val="%1."/>
      <w:numFmt w:val="decimal"/>
      <w:start w:val="13"/>
    </w:lvl>
  </w:abstractNum>
  <w:abstractNum w:abstractNumId="214">
    <w:nsid w:val="2BB180D8"/>
    <w:multiLevelType w:val="hybridMultilevel"/>
    <w:lvl w:ilvl="0">
      <w:lvlJc w:val="left"/>
      <w:lvlText w:val="(%1)"/>
      <w:numFmt w:val="lowerLetter"/>
      <w:start w:val="1"/>
    </w:lvl>
  </w:abstractNum>
  <w:abstractNum w:abstractNumId="215">
    <w:nsid w:val="556B69ED"/>
    <w:multiLevelType w:val="hybridMultilevel"/>
    <w:lvl w:ilvl="0">
      <w:lvlJc w:val="left"/>
      <w:lvlText w:val="(%1)"/>
      <w:numFmt w:val="lowerLetter"/>
      <w:start w:val="1"/>
    </w:lvl>
  </w:abstractNum>
  <w:abstractNum w:abstractNumId="216">
    <w:nsid w:val="70836196"/>
    <w:multiLevelType w:val="hybridMultilevel"/>
    <w:lvl w:ilvl="0">
      <w:lvlJc w:val="left"/>
      <w:lvlText w:val="%1."/>
      <w:numFmt w:val="decimal"/>
      <w:start w:val="14"/>
    </w:lvl>
  </w:abstractNum>
  <w:abstractNum w:abstractNumId="217">
    <w:nsid w:val="539F7F12"/>
    <w:multiLevelType w:val="hybridMultilevel"/>
    <w:lvl w:ilvl="0">
      <w:lvlJc w:val="left"/>
      <w:lvlText w:val="(%1)"/>
      <w:numFmt w:val="lowerLetter"/>
      <w:start w:val="1"/>
    </w:lvl>
    <w:lvl w:ilvl="1">
      <w:lvlJc w:val="left"/>
      <w:lvlText w:val="(%2)"/>
      <w:numFmt w:val="lowerRoman"/>
      <w:start w:val="1"/>
    </w:lvl>
  </w:abstractNum>
  <w:abstractNum w:abstractNumId="218">
    <w:nsid w:val="2817E7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9">
    <w:nsid w:val="7148254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0">
    <w:nsid w:val="17D78639"/>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21">
    <w:nsid w:val="141D2302"/>
    <w:multiLevelType w:val="hybridMultilevel"/>
    <w:lvl w:ilvl="0">
      <w:lvlJc w:val="left"/>
      <w:lvlText w:val="(%1)"/>
      <w:numFmt w:val="lowerLetter"/>
      <w:start w:val="1"/>
    </w:lvl>
    <w:lvl w:ilvl="1">
      <w:lvlJc w:val="left"/>
      <w:lvlText w:val="(%2)"/>
      <w:numFmt w:val="lowerRoman"/>
      <w:start w:val="1"/>
    </w:lvl>
  </w:abstractNum>
  <w:abstractNum w:abstractNumId="222">
    <w:nsid w:val="407168D8"/>
    <w:multiLevelType w:val="hybridMultilevel"/>
    <w:lvl w:ilvl="0">
      <w:lvlJc w:val="left"/>
      <w:lvlText w:val="%1"/>
      <w:numFmt w:val="lowerLetter"/>
      <w:start w:val="1"/>
    </w:lvl>
    <w:lvl w:ilvl="1">
      <w:lvlJc w:val="left"/>
      <w:lvlText w:val="(%2)"/>
      <w:numFmt w:val="lowerRoman"/>
      <w:start w:val="2"/>
    </w:lvl>
  </w:abstractNum>
  <w:abstractNum w:abstractNumId="223">
    <w:nsid w:val="6A1B45E5"/>
    <w:multiLevelType w:val="hybridMultilevel"/>
    <w:lvl w:ilvl="0">
      <w:lvlJc w:val="left"/>
      <w:lvlText w:val="(%1)"/>
      <w:numFmt w:val="lowerLetter"/>
      <w:start w:val="2"/>
    </w:lvl>
    <w:lvl w:ilvl="1">
      <w:lvlJc w:val="left"/>
      <w:lvlText w:val="%2"/>
      <w:numFmt w:val="lowerRoman"/>
      <w:start w:val="1"/>
    </w:lvl>
  </w:abstractNum>
  <w:abstractNum w:abstractNumId="224">
    <w:nsid w:val="567BD50A"/>
    <w:multiLevelType w:val="hybridMultilevel"/>
    <w:lvl w:ilvl="0">
      <w:lvlJc w:val="left"/>
      <w:lvlText w:val="(%1)"/>
      <w:numFmt w:val="lowerLetter"/>
      <w:start w:val="1"/>
    </w:lvl>
  </w:abstractNum>
  <w:abstractNum w:abstractNumId="225">
    <w:nsid w:val="73BBD7F8"/>
    <w:multiLevelType w:val="hybridMultilevel"/>
    <w:lvl w:ilvl="0">
      <w:lvlJc w:val="left"/>
      <w:lvlText w:val="(%1)"/>
      <w:numFmt w:val="lowerLetter"/>
      <w:start w:val="1"/>
    </w:lvl>
    <w:lvl w:ilvl="1">
      <w:lvlJc w:val="left"/>
      <w:lvlText w:val="(%2)"/>
      <w:numFmt w:val="lowerRoman"/>
      <w:start w:val="1"/>
    </w:lvl>
  </w:abstractNum>
  <w:abstractNum w:abstractNumId="226">
    <w:nsid w:val="1876589D"/>
    <w:multiLevelType w:val="hybridMultilevel"/>
    <w:lvl w:ilvl="0">
      <w:lvlJc w:val="left"/>
      <w:lvlText w:val="%1."/>
      <w:numFmt w:val="decimal"/>
      <w:start w:val="16"/>
    </w:lvl>
  </w:abstractNum>
  <w:abstractNum w:abstractNumId="227">
    <w:nsid w:val="327FAC77"/>
    <w:multiLevelType w:val="hybridMultilevel"/>
    <w:lvl w:ilvl="0">
      <w:lvlJc w:val="left"/>
      <w:lvlText w:val="(%1)"/>
      <w:numFmt w:val="lowerLetter"/>
      <w:start w:val="1"/>
    </w:lvl>
    <w:lvl w:ilvl="1">
      <w:lvlJc w:val="left"/>
      <w:lvlText w:val="(%2)"/>
      <w:numFmt w:val="lowerRoman"/>
      <w:start w:val="1"/>
    </w:lvl>
  </w:abstractNum>
  <w:abstractNum w:abstractNumId="228">
    <w:nsid w:val="5A606509"/>
    <w:multiLevelType w:val="hybridMultilevel"/>
    <w:lvl w:ilvl="0">
      <w:lvlJc w:val="left"/>
      <w:lvlText w:val="(%1)"/>
      <w:numFmt w:val="lowerLetter"/>
      <w:start w:val="1"/>
    </w:lvl>
    <w:lvl w:ilvl="1">
      <w:lvlJc w:val="left"/>
      <w:lvlText w:val="(%2)"/>
      <w:numFmt w:val="lowerRoman"/>
      <w:start w:val="1"/>
    </w:lvl>
  </w:abstractNum>
  <w:abstractNum w:abstractNumId="229">
    <w:nsid w:val="6F38E6D1"/>
    <w:multiLevelType w:val="hybridMultilevel"/>
    <w:lvl w:ilvl="0">
      <w:lvlJc w:val="left"/>
      <w:lvlText w:val="(%1)"/>
      <w:numFmt w:val="lowerLetter"/>
      <w:start w:val="1"/>
    </w:lvl>
  </w:abstractNum>
  <w:abstractNum w:abstractNumId="230">
    <w:nsid w:val="46111BA5"/>
    <w:multiLevelType w:val="hybridMultilevel"/>
    <w:lvl w:ilvl="0">
      <w:lvlJc w:val="left"/>
      <w:lvlText w:val="(%1)"/>
      <w:numFmt w:val="lowerLetter"/>
      <w:start w:val="3"/>
    </w:lvl>
    <w:lvl w:ilvl="1">
      <w:lvlJc w:val="left"/>
      <w:lvlText w:val="(%2)"/>
      <w:numFmt w:val="lowerRoman"/>
      <w:start w:val="1"/>
    </w:lvl>
  </w:abstractNum>
  <w:abstractNum w:abstractNumId="231">
    <w:nsid w:val="5E963896"/>
    <w:multiLevelType w:val="hybridMultilevel"/>
    <w:lvl w:ilvl="0">
      <w:lvlJc w:val="left"/>
      <w:lvlText w:val="(%1)"/>
      <w:numFmt w:val="lowerLetter"/>
      <w:start w:val="1"/>
    </w:lvl>
  </w:abstractNum>
  <w:abstractNum w:abstractNumId="232">
    <w:nsid w:val="775BA7C1"/>
    <w:multiLevelType w:val="hybridMultilevel"/>
    <w:lvl w:ilvl="0">
      <w:lvlJc w:val="left"/>
      <w:lvlText w:val="(%1)"/>
      <w:numFmt w:val="lowerLetter"/>
      <w:start w:val="1"/>
    </w:lvl>
    <w:lvl w:ilvl="1">
      <w:lvlJc w:val="left"/>
      <w:lvlText w:val="(%2)"/>
      <w:numFmt w:val="lowerRoman"/>
      <w:start w:val="1"/>
    </w:lvl>
  </w:abstractNum>
  <w:abstractNum w:abstractNumId="233">
    <w:nsid w:val="1DD6D6F4"/>
    <w:multiLevelType w:val="hybridMultilevel"/>
    <w:lvl w:ilvl="0">
      <w:lvlJc w:val="left"/>
      <w:lvlText w:val="(%1)"/>
      <w:numFmt w:val="lowerLetter"/>
      <w:start w:val="1"/>
    </w:lvl>
    <w:lvl w:ilvl="1">
      <w:lvlJc w:val="left"/>
      <w:lvlText w:val="(%2)"/>
      <w:numFmt w:val="lowerRoman"/>
      <w:start w:val="1"/>
    </w:lvl>
  </w:abstractNum>
  <w:abstractNum w:abstractNumId="234">
    <w:nsid w:val="769A091F"/>
    <w:multiLevelType w:val="hybridMultilevel"/>
    <w:lvl w:ilvl="0">
      <w:lvlJc w:val="left"/>
      <w:lvlText w:val="(%1)"/>
      <w:numFmt w:val="lowerLetter"/>
      <w:start w:val="3"/>
    </w:lvl>
  </w:abstractNum>
  <w:abstractNum w:abstractNumId="235">
    <w:nsid w:val="4695AE95"/>
    <w:multiLevelType w:val="hybridMultilevel"/>
    <w:lvl w:ilvl="0">
      <w:lvlJc w:val="left"/>
      <w:lvlText w:val="%1"/>
      <w:numFmt w:val="decimal"/>
      <w:start w:val="1"/>
    </w:lvl>
    <w:lvl w:ilvl="1">
      <w:lvlJc w:val="left"/>
      <w:lvlText w:val="(%2)"/>
      <w:numFmt w:val="lowerLetter"/>
      <w:start w:val="1"/>
    </w:lvl>
  </w:abstractNum>
  <w:abstractNum w:abstractNumId="236">
    <w:nsid w:val="777A4EAA"/>
    <w:multiLevelType w:val="hybridMultilevel"/>
    <w:lvl w:ilvl="0">
      <w:lvlJc w:val="left"/>
      <w:lvlText w:val="%1."/>
      <w:numFmt w:val="decimal"/>
      <w:start w:val="17"/>
    </w:lvl>
    <w:lvl w:ilvl="1">
      <w:lvlJc w:val="left"/>
      <w:lvlText w:val="%2"/>
      <w:numFmt w:val="lowerLetter"/>
      <w:start w:val="1"/>
    </w:lvl>
  </w:abstractNum>
  <w:abstractNum w:abstractNumId="237">
    <w:nsid w:val="3F48B982"/>
    <w:multiLevelType w:val="hybridMultilevel"/>
    <w:lvl w:ilvl="0">
      <w:lvlJc w:val="left"/>
      <w:lvlText w:val="(%1)"/>
      <w:numFmt w:val="lowerLetter"/>
      <w:start w:val="1"/>
    </w:lvl>
    <w:lvl w:ilvl="1">
      <w:lvlJc w:val="left"/>
      <w:lvlText w:val="(%2)"/>
      <w:numFmt w:val="lowerRoman"/>
      <w:start w:val="1"/>
    </w:lvl>
  </w:abstractNum>
  <w:abstractNum w:abstractNumId="238">
    <w:nsid w:val="46BA8FCA"/>
    <w:multiLevelType w:val="hybridMultilevel"/>
    <w:lvl w:ilvl="0">
      <w:lvlJc w:val="left"/>
      <w:lvlText w:val="(%1)"/>
      <w:numFmt w:val="lowerLetter"/>
      <w:start w:val="2"/>
    </w:lvl>
    <w:lvl w:ilvl="1">
      <w:lvlJc w:val="left"/>
      <w:lvlText w:val="(%2)"/>
      <w:numFmt w:val="lowerRoman"/>
      <w:start w:val="1"/>
    </w:lvl>
  </w:abstractNum>
  <w:abstractNum w:abstractNumId="239">
    <w:nsid w:val="7835626C"/>
    <w:multiLevelType w:val="hybridMultilevel"/>
    <w:lvl w:ilvl="0">
      <w:lvlJc w:val="left"/>
      <w:lvlText w:val="(%1)"/>
      <w:numFmt w:val="lowerLetter"/>
      <w:start w:val="1"/>
    </w:lvl>
  </w:abstractNum>
  <w:abstractNum w:abstractNumId="240">
    <w:nsid w:val="665ACA49"/>
    <w:multiLevelType w:val="hybridMultilevel"/>
    <w:lvl w:ilvl="0">
      <w:lvlJc w:val="left"/>
      <w:lvlText w:val="(%1)"/>
      <w:numFmt w:val="lowerLetter"/>
      <w:start w:val="2"/>
    </w:lvl>
  </w:abstractNum>
  <w:abstractNum w:abstractNumId="241">
    <w:nsid w:val="6835B2AE"/>
    <w:multiLevelType w:val="hybridMultilevel"/>
    <w:lvl w:ilvl="0">
      <w:lvlJc w:val="left"/>
      <w:lvlText w:val="%1."/>
      <w:numFmt w:val="decimal"/>
      <w:start w:val="18"/>
    </w:lvl>
  </w:abstractNum>
  <w:abstractNum w:abstractNumId="242">
    <w:nsid w:val="4C187C90"/>
    <w:multiLevelType w:val="hybridMultilevel"/>
    <w:lvl w:ilvl="0">
      <w:lvlJc w:val="left"/>
      <w:lvlText w:val="(%1)"/>
      <w:numFmt w:val="lowerLetter"/>
      <w:start w:val="1"/>
    </w:lvl>
    <w:lvl w:ilvl="1">
      <w:lvlJc w:val="left"/>
      <w:lvlText w:val="(%2)"/>
      <w:numFmt w:val="lowerRoman"/>
      <w:start w:val="1"/>
    </w:lvl>
  </w:abstractNum>
  <w:abstractNum w:abstractNumId="243">
    <w:nsid w:val="541F28CD"/>
    <w:multiLevelType w:val="hybridMultilevel"/>
    <w:lvl w:ilvl="0">
      <w:lvlJc w:val="left"/>
      <w:lvlText w:val="(%1)"/>
      <w:numFmt w:val="lowerLetter"/>
      <w:start w:val="1"/>
    </w:lvl>
    <w:lvl w:ilvl="1">
      <w:lvlJc w:val="left"/>
      <w:lvlText w:val="(%2)"/>
      <w:numFmt w:val="lowerRoman"/>
      <w:start w:val="1"/>
    </w:lvl>
  </w:abstractNum>
  <w:abstractNum w:abstractNumId="244">
    <w:nsid w:val="7F65FD16"/>
    <w:multiLevelType w:val="hybridMultilevel"/>
    <w:lvl w:ilvl="0">
      <w:lvlJc w:val="left"/>
      <w:lvlText w:val="(%1)"/>
      <w:numFmt w:val="lowerLetter"/>
      <w:start w:val="3"/>
    </w:lvl>
  </w:abstractNum>
  <w:abstractNum w:abstractNumId="245">
    <w:nsid w:val="77C9FD68"/>
    <w:multiLevelType w:val="hybridMultilevel"/>
    <w:lvl w:ilvl="0">
      <w:lvlJc w:val="left"/>
      <w:lvlText w:val="(%1)"/>
      <w:numFmt w:val="lowerLetter"/>
      <w:start w:val="1"/>
    </w:lvl>
    <w:lvl w:ilvl="1">
      <w:lvlJc w:val="left"/>
      <w:lvlText w:val="(%2)"/>
      <w:numFmt w:val="lowerRoman"/>
      <w:start w:val="1"/>
    </w:lvl>
  </w:abstractNum>
  <w:abstractNum w:abstractNumId="246">
    <w:nsid w:val="298A92BA"/>
    <w:multiLevelType w:val="hybridMultilevel"/>
    <w:lvl w:ilvl="0">
      <w:lvlJc w:val="left"/>
      <w:lvlText w:val="(%1)"/>
      <w:numFmt w:val="lowerLetter"/>
      <w:start w:val="1"/>
    </w:lvl>
  </w:abstractNum>
  <w:abstractNum w:abstractNumId="247">
    <w:nsid w:val="6FE95EAC"/>
    <w:multiLevelType w:val="hybridMultilevel"/>
    <w:lvl w:ilvl="0">
      <w:lvlJc w:val="left"/>
      <w:lvlText w:val="%1."/>
      <w:numFmt w:val="decimal"/>
      <w:start w:val="19"/>
    </w:lvl>
  </w:abstractNum>
  <w:abstractNum w:abstractNumId="248">
    <w:nsid w:val="4B697C7A"/>
    <w:multiLevelType w:val="hybridMultilevel"/>
    <w:lvl w:ilvl="0">
      <w:lvlJc w:val="left"/>
      <w:lvlText w:val="(%1)"/>
      <w:numFmt w:val="lowerLetter"/>
      <w:start w:val="1"/>
    </w:lvl>
    <w:lvl w:ilvl="1">
      <w:lvlJc w:val="left"/>
      <w:lvlText w:val="(%2)"/>
      <w:numFmt w:val="lowerRoman"/>
      <w:start w:val="1"/>
    </w:lvl>
  </w:abstractNum>
  <w:abstractNum w:abstractNumId="249">
    <w:nsid w:val="51A27AA6"/>
    <w:multiLevelType w:val="hybridMultilevel"/>
    <w:lvl w:ilvl="0">
      <w:lvlJc w:val="left"/>
      <w:lvlText w:val="%1"/>
      <w:numFmt w:val="decimal"/>
      <w:start w:val="1"/>
    </w:lvl>
    <w:lvl w:ilvl="1">
      <w:lvlJc w:val="left"/>
      <w:lvlText w:val="(%2)"/>
      <w:numFmt w:val="lowerLetter"/>
      <w:start w:val="1"/>
    </w:lvl>
  </w:abstractNum>
  <w:abstractNum w:abstractNumId="250">
    <w:nsid w:val="613183F2"/>
    <w:multiLevelType w:val="hybridMultilevel"/>
    <w:lvl w:ilvl="0">
      <w:lvlJc w:val="left"/>
      <w:lvlText w:val="%1."/>
      <w:numFmt w:val="decimal"/>
      <w:start w:val="20"/>
    </w:lvl>
    <w:lvl w:ilvl="1">
      <w:lvlJc w:val="left"/>
      <w:lvlText w:val="%2"/>
      <w:numFmt w:val="lowerLetter"/>
      <w:start w:val="1"/>
    </w:lvl>
  </w:abstractNum>
  <w:abstractNum w:abstractNumId="251">
    <w:nsid w:val="634102B4"/>
    <w:multiLevelType w:val="hybridMultilevel"/>
    <w:lvl w:ilvl="0">
      <w:lvlJc w:val="left"/>
      <w:lvlText w:val="(%1)"/>
      <w:numFmt w:val="lowerLetter"/>
      <w:start w:val="1"/>
    </w:lvl>
  </w:abstractNum>
  <w:abstractNum w:abstractNumId="252">
    <w:nsid w:val="65BF9DA8"/>
    <w:multiLevelType w:val="hybridMultilevel"/>
    <w:lvl w:ilvl="0">
      <w:lvlJc w:val="left"/>
      <w:lvlText w:val="(%1)"/>
      <w:numFmt w:val="lowerLetter"/>
      <w:start w:val="1"/>
    </w:lvl>
  </w:abstractNum>
  <w:abstractNum w:abstractNumId="253">
    <w:nsid w:val="21A2ECCA"/>
    <w:multiLevelType w:val="hybridMultilevel"/>
    <w:lvl w:ilvl="0">
      <w:lvlJc w:val="left"/>
      <w:lvlText w:val="%1."/>
      <w:numFmt w:val="decimal"/>
      <w:start w:val="21"/>
    </w:lvl>
  </w:abstractNum>
  <w:abstractNum w:abstractNumId="254">
    <w:nsid w:val="4D5C4899"/>
    <w:multiLevelType w:val="hybridMultilevel"/>
    <w:lvl w:ilvl="0">
      <w:lvlJc w:val="left"/>
      <w:lvlText w:val="(%1)"/>
      <w:numFmt w:val="lowerLetter"/>
      <w:start w:val="1"/>
    </w:lvl>
  </w:abstractNum>
  <w:abstractNum w:abstractNumId="255">
    <w:nsid w:val="3C3B72B2"/>
    <w:multiLevelType w:val="hybridMultilevel"/>
    <w:lvl w:ilvl="0">
      <w:lvlJc w:val="left"/>
      <w:lvlText w:val="(%1)"/>
      <w:numFmt w:val="lowerLetter"/>
      <w:start w:val="2"/>
    </w:lvl>
    <w:lvl w:ilvl="1">
      <w:lvlJc w:val="left"/>
      <w:lvlText w:val="(%2)"/>
      <w:numFmt w:val="lowerRoman"/>
      <w:start w:val="1"/>
    </w:lvl>
  </w:abstractNum>
  <w:abstractNum w:abstractNumId="256">
    <w:nsid w:val="155EC4C2"/>
    <w:multiLevelType w:val="hybridMultilevel"/>
    <w:lvl w:ilvl="0">
      <w:lvlJc w:val="left"/>
      <w:lvlText w:val="(%1)"/>
      <w:numFmt w:val="lowerLetter"/>
      <w:start w:val="1"/>
    </w:lvl>
  </w:abstractNum>
  <w:abstractNum w:abstractNumId="257">
    <w:nsid w:val="65D2A137"/>
    <w:multiLevelType w:val="hybridMultilevel"/>
    <w:lvl w:ilvl="0">
      <w:lvlJc w:val="left"/>
      <w:lvlText w:val="%1"/>
      <w:numFmt w:val="decimal"/>
      <w:start w:val="1"/>
    </w:lvl>
    <w:lvl w:ilvl="1">
      <w:lvlJc w:val="left"/>
      <w:lvlText w:val="(%2)"/>
      <w:numFmt w:val="lowerLetter"/>
      <w:start w:val="1"/>
    </w:lvl>
  </w:abstractNum>
  <w:abstractNum w:abstractNumId="258">
    <w:nsid w:val="6EBB1F2A"/>
    <w:multiLevelType w:val="hybridMultilevel"/>
    <w:lvl w:ilvl="0">
      <w:lvlJc w:val="left"/>
      <w:lvlText w:val="%1."/>
      <w:numFmt w:val="decimal"/>
      <w:start w:val="22"/>
    </w:lvl>
    <w:lvl w:ilvl="1">
      <w:lvlJc w:val="left"/>
      <w:lvlText w:val="%2"/>
      <w:numFmt w:val="lowerLetter"/>
      <w:start w:val="1"/>
    </w:lvl>
  </w:abstractNum>
  <w:abstractNum w:abstractNumId="259">
    <w:nsid w:val="6FBF29CB"/>
    <w:multiLevelType w:val="hybridMultilevel"/>
    <w:lvl w:ilvl="0">
      <w:lvlJc w:val="left"/>
      <w:lvlText w:val="(%1)"/>
      <w:numFmt w:val="lowerLetter"/>
      <w:start w:val="1"/>
    </w:lvl>
  </w:abstractNum>
  <w:abstractNum w:abstractNumId="260">
    <w:nsid w:val="550B8808"/>
    <w:multiLevelType w:val="hybridMultilevel"/>
    <w:lvl w:ilvl="0">
      <w:lvlJc w:val="left"/>
      <w:lvlText w:val="(%1)"/>
      <w:numFmt w:val="lowerLetter"/>
      <w:start w:val="1"/>
    </w:lvl>
  </w:abstractNum>
  <w:abstractNum w:abstractNumId="261">
    <w:nsid w:val="34CC3ACF"/>
    <w:multiLevelType w:val="hybridMultilevel"/>
    <w:lvl w:ilvl="0">
      <w:lvlJc w:val="left"/>
      <w:lvlText w:val="(%1)"/>
      <w:numFmt w:val="lowerLetter"/>
      <w:start w:val="3"/>
    </w:lvl>
    <w:lvl w:ilvl="1">
      <w:lvlJc w:val="left"/>
      <w:lvlText w:val="(%2)"/>
      <w:numFmt w:val="lowerRoman"/>
      <w:start w:val="1"/>
    </w:lvl>
  </w:abstractNum>
  <w:abstractNum w:abstractNumId="262">
    <w:nsid w:val="4E556261"/>
    <w:multiLevelType w:val="hybridMultilevel"/>
    <w:lvl w:ilvl="0">
      <w:lvlJc w:val="left"/>
      <w:lvlText w:val="(%1)"/>
      <w:numFmt w:val="lowerLetter"/>
      <w:start w:val="1"/>
    </w:lvl>
    <w:lvl w:ilvl="1">
      <w:lvlJc w:val="left"/>
      <w:lvlText w:val="(%2)"/>
      <w:numFmt w:val="lowerRoman"/>
      <w:start w:val="1"/>
    </w:lvl>
  </w:abstractNum>
  <w:abstractNum w:abstractNumId="263">
    <w:nsid w:val="4C672FC9"/>
    <w:multiLevelType w:val="hybridMultilevel"/>
    <w:lvl w:ilvl="0">
      <w:lvlJc w:val="left"/>
      <w:lvlText w:val="%1."/>
      <w:numFmt w:val="decimal"/>
      <w:start w:val="23"/>
    </w:lvl>
  </w:abstractNum>
  <w:abstractNum w:abstractNumId="264">
    <w:nsid w:val="52A311C3"/>
    <w:multiLevelType w:val="hybridMultilevel"/>
    <w:lvl w:ilvl="0">
      <w:lvlJc w:val="left"/>
      <w:lvlText w:val="(%1)"/>
      <w:numFmt w:val="lowerLetter"/>
      <w:start w:val="1"/>
    </w:lvl>
  </w:abstractNum>
  <w:abstractNum w:abstractNumId="265">
    <w:nsid w:val="44EF6B80"/>
    <w:multiLevelType w:val="hybridMultilevel"/>
    <w:lvl w:ilvl="0">
      <w:lvlJc w:val="left"/>
      <w:lvlText w:val="(%1)"/>
      <w:numFmt w:val="lowerLetter"/>
      <w:start w:val="1"/>
    </w:lvl>
  </w:abstractNum>
  <w:abstractNum w:abstractNumId="266">
    <w:nsid w:val="12FCDE5E"/>
    <w:multiLevelType w:val="hybridMultilevel"/>
    <w:lvl w:ilvl="0">
      <w:lvlJc w:val="left"/>
      <w:lvlText w:val="(%1)"/>
      <w:numFmt w:val="lowerRoman"/>
      <w:start w:val="1"/>
    </w:lvl>
  </w:abstractNum>
  <w:abstractNum w:abstractNumId="267">
    <w:nsid w:val="4A1D606E"/>
    <w:multiLevelType w:val="hybridMultilevel"/>
    <w:lvl w:ilvl="0">
      <w:lvlJc w:val="left"/>
      <w:lvlText w:val="(%1)"/>
      <w:numFmt w:val="lowerLetter"/>
      <w:start w:val="1"/>
    </w:lvl>
  </w:abstractNum>
  <w:abstractNum w:abstractNumId="268">
    <w:nsid w:val="4382503"/>
    <w:multiLevelType w:val="hybridMultilevel"/>
    <w:lvl w:ilvl="0">
      <w:lvlJc w:val="left"/>
      <w:lvlText w:val="(%1)"/>
      <w:numFmt w:val="lowerLetter"/>
      <w:start w:val="1"/>
    </w:lvl>
  </w:abstractNum>
  <w:abstractNum w:abstractNumId="269">
    <w:nsid w:val="59B76E28"/>
    <w:multiLevelType w:val="hybridMultilevel"/>
    <w:lvl w:ilvl="0">
      <w:lvlJc w:val="left"/>
      <w:lvlText w:val="(%1)"/>
      <w:numFmt w:val="lowerLetter"/>
      <w:start w:val="1"/>
    </w:lvl>
  </w:abstractNum>
  <w:abstractNum w:abstractNumId="270">
    <w:nsid w:val="4252C2DA"/>
    <w:multiLevelType w:val="hybridMultilevel"/>
    <w:lvl w:ilvl="0">
      <w:lvlJc w:val="left"/>
      <w:lvlText w:val="(%1)"/>
      <w:numFmt w:val="lowerLetter"/>
      <w:start w:val="1"/>
    </w:lvl>
  </w:abstractNum>
  <w:abstractNum w:abstractNumId="271">
    <w:nsid w:val="6A92EF4C"/>
    <w:multiLevelType w:val="hybridMultilevel"/>
    <w:lvl w:ilvl="0">
      <w:lvlJc w:val="left"/>
      <w:lvlText w:val="(%1)"/>
      <w:numFmt w:val="lowerLetter"/>
      <w:start w:val="1"/>
    </w:lvl>
  </w:abstractNum>
  <w:abstractNum w:abstractNumId="272">
    <w:nsid w:val="41ED20D7"/>
    <w:multiLevelType w:val="hybridMultilevel"/>
    <w:lvl w:ilvl="0">
      <w:lvlJc w:val="left"/>
      <w:lvlText w:val="(%1)"/>
      <w:numFmt w:val="lowerRoman"/>
      <w:start w:val="6"/>
    </w:lvl>
  </w:abstractNum>
  <w:abstractNum w:abstractNumId="273">
    <w:nsid w:val="E6B3F6A"/>
    <w:multiLevelType w:val="hybridMultilevel"/>
    <w:lvl w:ilvl="0">
      <w:lvlJc w:val="left"/>
      <w:lvlText w:val="%1."/>
      <w:numFmt w:val="decimal"/>
      <w:start w:val="1"/>
    </w:lvl>
    <w:lvl w:ilvl="1">
      <w:lvlJc w:val="left"/>
      <w:lvlText w:val="%2."/>
      <w:numFmt w:val="lowerLetter"/>
      <w:start w:val="1"/>
    </w:lvl>
  </w:abstractNum>
  <w:abstractNum w:abstractNumId="274">
    <w:nsid w:val="3EB21819"/>
    <w:multiLevelType w:val="hybridMultilevel"/>
    <w:lvl w:ilvl="0">
      <w:lvlJc w:val="left"/>
      <w:lvlText w:val="%1."/>
      <w:numFmt w:val="decimal"/>
      <w:start w:val="1"/>
    </w:lvl>
    <w:lvl w:ilvl="1">
      <w:lvlJc w:val="left"/>
      <w:lvlText w:val="%2."/>
      <w:numFmt w:val="lowerLetter"/>
      <w:start w:val="1"/>
    </w:lvl>
  </w:abstractNum>
  <w:abstractNum w:abstractNumId="275">
    <w:nsid w:val="41531DED"/>
    <w:multiLevelType w:val="hybridMultilevel"/>
    <w:lvl w:ilvl="0">
      <w:lvlJc w:val="left"/>
      <w:lvlText w:val="%1."/>
      <w:numFmt w:val="lowerLetter"/>
      <w:start w:val="1"/>
    </w:lvl>
  </w:abstractNum>
  <w:abstractNum w:abstractNumId="276">
    <w:nsid w:val="6353CD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jpe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jpe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113" Type="http://schemas.openxmlformats.org/officeDocument/2006/relationships/hyperlink" Target="http://www.sec.gov/Archives/edgar/data/2029138/000121390024112742/ea021157104ex10-1_sagtec.htm" TargetMode="External"/><Relationship Id="rId114" Type="http://schemas.openxmlformats.org/officeDocument/2006/relationships/hyperlink" Target="http://www.sec.gov/Archives/edgar/data/2029138/000121390024112742/ea021157104ex10-2_sagtec.htm" TargetMode="External"/><Relationship Id="rId115" Type="http://schemas.openxmlformats.org/officeDocument/2006/relationships/hyperlink" Target="http://www.sec.gov/Archives/edgar/data/2029138/000121390024112742/ea021157104ex10-3_sagtec.htm" TargetMode="External"/><Relationship Id="rId116" Type="http://schemas.openxmlformats.org/officeDocument/2006/relationships/hyperlink" Target="http://www.sec.gov/Archives/edgar/data/2029138/000121390024112742/ea021157104ex10-4_sagtec.htm" TargetMode="External"/><Relationship Id="rId117" Type="http://schemas.openxmlformats.org/officeDocument/2006/relationships/hyperlink" Target="http://www.sec.gov/Archives/edgar/data/2029138/000121390025047068/ea024320301ex10-2_sagtec.htm" TargetMode="External"/><Relationship Id="rId118" Type="http://schemas.openxmlformats.org/officeDocument/2006/relationships/hyperlink" Target="http://www.sec.gov/Archives/edgar/data/2029138/000121390024112742/ea021157104ex10-6_sagtec.htm" TargetMode="External"/><Relationship Id="rId119" Type="http://schemas.openxmlformats.org/officeDocument/2006/relationships/hyperlink" Target="http://www.sec.gov/Archives/edgar/data/2029138/000121390025047068/ea024320301ex10-1_sagtec.htm" TargetMode="External"/><Relationship Id="rId120" Type="http://schemas.openxmlformats.org/officeDocument/2006/relationships/hyperlink" Target="http://www.sec.gov/Archives/edgar/data/2029138/000121390024112742/ea021157104ex21-1_sagtec.htm" TargetMode="External"/><Relationship Id="rId121" Type="http://schemas.openxmlformats.org/officeDocument/2006/relationships/hyperlink" Target="http://www.sec.gov/Archives/edgar/data/2029138/000121390024112742/ea021157104ex14-1_sagtec.htm" TargetMode="External"/><Relationship Id="rId122" Type="http://schemas.openxmlformats.org/officeDocument/2006/relationships/hyperlink" Target="http://www.sec.gov/Archives/edgar/data/2029138/000121390024112742/ea021157104ex14-2_sagtec.htm" TargetMode="External"/><Relationship Id="rId123" Type="http://schemas.openxmlformats.org/officeDocument/2006/relationships/hyperlink" Target="http://www.sec.gov/Archives/edgar/data/2029138/000121390024112742/ea021157104ex14-3_sagt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2026-04-29T07:52:54Z</dcterms:created>
  <dcterms:modified xsi:type="dcterms:W3CDTF">2026-04-29T07:52:54Z</dcterms:modified>
</cp:coreProperties>
</file>