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ea0298277-6k_sagtec.htm"/>
      <w:bookmarkStart w:id="1" w:name="ksea02982776k_sagtec"/>
      <w:bookmarkEnd w:id="0"/>
      <w:bookmarkEnd w:id="1"/>
      <w:r>
        <w:rPr>
          <w:caps w:val="false"/>
          <w:smallCaps w:val="false"/>
        </w:rPr>
        <w:t> </w:t>
      </w:r>
    </w:p>
    <w:p>
      <w:pPr>
        <w:pStyle w:val="TextBody"/>
        <w:bidi w:val="0"/>
        <w:jc w:val="center"/>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 6-2, Level 9, Equatorial Plaza,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Sultan Ismail, 50250 Kuala Lumpur, Malaysia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CURRENT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Form 6-K filed on February 11, 2026, Helena Global Investment Opportunities I Ltd. (“Helena”) previously filed a complaint against Sagtec Global Limited (the “Company”) in the Supreme Court of the State of New York, County of New York (the “Action”), alleging claims arising out of a purchase agreement entered into between the parties dated July 11,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the Company entered into a Confidential Settlement Agreement and Mutual General Release (the “Settlement Agreement”) with Helena to resolve a dispute arising from the Action. Pursuant to the Settlement Agreement, and without any admission of liability by either party, the parties agreed to fully and finally resolve all claims relating to the Action. As part of the settlement, Sagtec agreed to pay Helena an aggregate amount of $250,000 (the “Settlement Amount”), payable as follows: (i) an initial payment of $100,000 upon execution of the Settlement Agreement, which has been paid as of the date of this current report, and (ii) a final payment of $150,000 within ninety (90) days of the execution date. All payments are to be made by wire transfer of immediately available funds in accordance with instructions provided by Helena’s counsel.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Helena filed a Notice of Discontinuance of the Action in the Supreme Court of the State of New York, County of New York, discontinuing the Action against Sagtec without prejudice and without costs to any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Sagtec’s full and timely payment of the Settlement Amount, which has now been completed as of the date of this current report, Helena has released Sagtec and its affiliates from any and all claims relating to the Action, and Sagtec has provided a corresponding release to Helena.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605"/>
        <w:gridCol w:w="3170"/>
        <w:gridCol w:w="75"/>
      </w:tblGrid>
      <w:tr>
        <w:trPr/>
        <w:tc>
          <w:tcPr>
            <w:tcW w:w="37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Ng Chen Lok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 Chen Lok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17,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440</Words>
  <Characters>2288</Characters>
  <CharactersWithSpaces>2728</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