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SAGTEC GLOBAL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Ng Chen Lok</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Lot 6-2, Level 9, Equatorial Plaza, Jalan Sultan Ismail</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Kuala Lumpur, N8, 50250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603-3310 0089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Ng Chen Lok</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MALAYSIA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8,452,600.00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8,452,600.00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8,452,600.00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41.13 %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89" w:orient="portrait"/>
          <w:cols w:equalWidth="0" w:num="2">
            <w:col w:w="1060" w:space="60"/>
            <w:col w:w="9840"/>
          </w:cols>
          <w:pgMar w:left="360" w:top="126" w:right="5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Class A Ordinary Shares</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SAGTEC GLOBAL LIMITED</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right="1980" w:firstLine="932"/>
        <w:spacing w:after="0" w:line="283" w:lineRule="auto"/>
        <w:rPr>
          <w:sz w:val="20"/>
          <w:szCs w:val="20"/>
          <w:color w:val="auto"/>
        </w:rPr>
      </w:pPr>
      <w:r>
        <w:rPr>
          <w:rFonts w:ascii="Times New Roman" w:cs="Times New Roman" w:eastAsia="Times New Roman" w:hAnsi="Times New Roman"/>
          <w:sz w:val="22"/>
          <w:szCs w:val="22"/>
          <w:color w:val="auto"/>
        </w:rPr>
        <w:t>Lot 6-2, Level 9, Equatorial Plaza, Jalan Sultan Ismail, Kuala Lumpur, MALAYSIA , 50250. Item 2. Identity and Background</w:t>
      </w: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Ng Chen Lok</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Lot 6-2, Level 9, Equatorial Plaza, Jalan Sultan Ismail, 50250 Kuala Lumpur, Malaysia</w:t>
      </w:r>
    </w:p>
    <w:p>
      <w:pPr>
        <w:spacing w:after="0" w:line="44" w:lineRule="exact"/>
        <w:rPr>
          <w:rFonts w:ascii="Times New Roman" w:cs="Times New Roman" w:eastAsia="Times New Roman" w:hAnsi="Times New Roman"/>
          <w:sz w:val="22"/>
          <w:szCs w:val="22"/>
          <w:color w:val="auto"/>
        </w:rPr>
      </w:pPr>
    </w:p>
    <w:p>
      <w:pPr>
        <w:ind w:left="940" w:hanging="932"/>
        <w:spacing w:after="0" w:line="185" w:lineRule="auto"/>
        <w:tabs>
          <w:tab w:leader="none" w:pos="94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 is the Chief Executive Officer, Chairman of the Board and Director of the Issuer. The address of the Issuer is Lot 6-2, Level 9, Equatorial Plaza, Jalan Sultan Ismail, 50250 Kuala Lumpur, Malaysia</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Malaysia</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PF and OO. Ng Chen Lok acquired 1,500,000 Class A Ordinary Shares beneficially owned by him in exchange for</w:t>
      </w:r>
    </w:p>
    <w:p>
      <w:pPr>
        <w:sectPr>
          <w:pgSz w:w="11900" w:h="16889" w:orient="portrait"/>
          <w:cols w:equalWidth="0" w:num="1">
            <w:col w:w="10960"/>
          </w:cols>
          <w:pgMar w:left="360" w:top="126" w:right="579" w:bottom="0" w:gutter="0" w:footer="0" w:header="0"/>
          <w:type w:val="continuous"/>
        </w:sectPr>
      </w:pPr>
    </w:p>
    <w:bookmarkStart w:id="2" w:name="page3"/>
    <w:bookmarkEnd w:id="2"/>
    <w:p>
      <w:pPr>
        <w:ind w:left="940" w:right="200"/>
        <w:spacing w:after="0" w:line="256" w:lineRule="auto"/>
        <w:rPr>
          <w:sz w:val="20"/>
          <w:szCs w:val="20"/>
          <w:color w:val="auto"/>
        </w:rPr>
      </w:pPr>
      <w:r>
        <w:rPr>
          <w:rFonts w:ascii="Times New Roman" w:cs="Times New Roman" w:eastAsia="Times New Roman" w:hAnsi="Times New Roman"/>
          <w:sz w:val="22"/>
          <w:szCs w:val="22"/>
          <w:color w:val="auto"/>
        </w:rPr>
        <w:t>capital contributions to the issuer, as well as 415,000 Class A Ordinary Shares issued to him as supplemental equity compensation for his continued service to the Company during the 2026 financial year.</w:t>
      </w:r>
    </w:p>
    <w:p>
      <w:pPr>
        <w:spacing w:after="0" w:line="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spacing w:after="0" w:line="234" w:lineRule="auto"/>
        <w:rPr>
          <w:sz w:val="20"/>
          <w:szCs w:val="20"/>
          <w:color w:val="auto"/>
        </w:rPr>
      </w:pPr>
      <w:r>
        <w:rPr>
          <w:rFonts w:ascii="Times New Roman" w:cs="Times New Roman" w:eastAsia="Times New Roman" w:hAnsi="Times New Roman"/>
          <w:sz w:val="22"/>
          <w:szCs w:val="22"/>
          <w:color w:val="auto"/>
        </w:rPr>
        <w:t>The Reporting Person has acquired an additional 1,500,000 Class A Ordinary Shares pursuant to a Private Subscription Agreement with the Company on June 17, 2026, for the purchase of 1,500,000 Class A Ordinary Shares at a a purchase price of US$1.04 per share, for an aggregate subscription amount of US$1,560,000. The Reporting Person was also awarded an additional 415,000 Class A Ordinary Shares as supplemental equity compensation on May 15, 2026, for his continued service to the Company during the 2026 financial year. The Reporting Person serves as Chief Executive Officer, Chairman of the Board and Director of the Issuer and, as a result, may be asked to vote on or discuss matters related to items (a) through (j) of this Item 4 of Schedule 13D with representatives of the Issuer and others. Except as may be set forth herein, the Reporting Person has no current intention, plan or proposal with respect to items (a) through (j) of Item 4 of Schedule 13D.</w:t>
      </w:r>
    </w:p>
    <w:p>
      <w:pPr>
        <w:spacing w:after="0" w:line="2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Based on the disclosure in this statement and the foregoing, the aggregate number and percentage of Ordinary Shares</w:t>
      </w:r>
    </w:p>
    <w:p>
      <w:pPr>
        <w:spacing w:after="0" w:line="26" w:lineRule="exact"/>
        <w:rPr>
          <w:sz w:val="20"/>
          <w:szCs w:val="20"/>
          <w:color w:val="auto"/>
        </w:rPr>
      </w:pPr>
    </w:p>
    <w:p>
      <w:pPr>
        <w:ind w:left="940" w:right="740" w:hanging="932"/>
        <w:spacing w:after="0" w:line="237"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Issuer owned by the Reporting Person is 8,452,600, constituting 41.13% of Ordinary Shares issued and outstanding as of the date hereof.</w:t>
      </w:r>
    </w:p>
    <w:p>
      <w:pPr>
        <w:spacing w:after="0" w:line="16"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 has sole voting and dispositive power over 8,452,600 Ordinary Shares.</w:t>
      </w:r>
    </w:p>
    <w:p>
      <w:pPr>
        <w:spacing w:after="0" w:line="44" w:lineRule="exact"/>
        <w:rPr>
          <w:rFonts w:ascii="Times New Roman" w:cs="Times New Roman" w:eastAsia="Times New Roman" w:hAnsi="Times New Roman"/>
          <w:sz w:val="22"/>
          <w:szCs w:val="22"/>
          <w:color w:val="auto"/>
        </w:rPr>
      </w:pPr>
    </w:p>
    <w:p>
      <w:pPr>
        <w:ind w:left="940" w:right="40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Reporting Person entered into a Private Subscription Agreement with the Company on June 17, 2026, for the purchase of 1,500,000 Class A Ordinary Shares at a a purchase price of US$1.04 per share, for an aggregate</w:t>
      </w:r>
    </w:p>
    <w:p>
      <w:pPr>
        <w:jc w:val="both"/>
        <w:ind w:left="940" w:right="220" w:hanging="932"/>
        <w:spacing w:after="0" w:line="189" w:lineRule="auto"/>
        <w:tabs>
          <w:tab w:leader="none" w:pos="94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subscription amount of US$1,560,000. The purchase price was determined with reference to the market price of the Company's Class A Ordinary Shares as of June 17, 2026. The Reporting Person was also awarded 415,000 Class A Ordinary Shares as supplemental equity compensation on May 15, 2026, for his continued service to the Company during the 2026 financial year.</w:t>
      </w:r>
    </w:p>
    <w:p>
      <w:pPr>
        <w:spacing w:after="0" w:line="14" w:lineRule="exact"/>
        <w:rPr>
          <w:rFonts w:ascii="Times New Roman" w:cs="Times New Roman" w:eastAsia="Times New Roman" w:hAnsi="Times New Roman"/>
          <w:sz w:val="43"/>
          <w:szCs w:val="43"/>
          <w:color w:val="auto"/>
          <w:vertAlign w:val="subscript"/>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right="220"/>
        <w:spacing w:after="0" w:line="236" w:lineRule="auto"/>
        <w:rPr>
          <w:sz w:val="20"/>
          <w:szCs w:val="20"/>
          <w:color w:val="auto"/>
        </w:rPr>
      </w:pPr>
      <w:r>
        <w:rPr>
          <w:rFonts w:ascii="Times New Roman" w:cs="Times New Roman" w:eastAsia="Times New Roman" w:hAnsi="Times New Roman"/>
          <w:sz w:val="22"/>
          <w:szCs w:val="22"/>
          <w:color w:val="auto"/>
        </w:rPr>
        <w:t>The Reporting Person entered into a Private Subscription Agreement with the Company on June 17, 2026, for the purchase of 1,500,000 Class A Ordinary Shares at a a purchase price of US$1.04 per share, for an aggregate subscription amount of US$1,560,000. The purchase price was determined with reference to the market price of the Company's Class A Ordinary Shares as of June 17, 2026. The Reporting Person was also awarded 415,000 Class A Ordinary Shares as supplemental equity compensation on May 15, 2026, for his continued service to the Company during the 2026 financial year.</w:t>
      </w:r>
    </w:p>
    <w:p>
      <w:pPr>
        <w:spacing w:after="0" w:line="1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right="1600"/>
        <w:spacing w:after="0" w:line="282" w:lineRule="auto"/>
        <w:rPr>
          <w:sz w:val="20"/>
          <w:szCs w:val="20"/>
          <w:color w:val="auto"/>
        </w:rPr>
      </w:pPr>
      <w:r>
        <w:rPr>
          <w:rFonts w:ascii="Times New Roman" w:cs="Times New Roman" w:eastAsia="Times New Roman" w:hAnsi="Times New Roman"/>
          <w:sz w:val="21"/>
          <w:szCs w:val="21"/>
          <w:color w:val="auto"/>
        </w:rPr>
        <w:t>https://www.sec.gov/Archives/edgar/data/2029138/000121390026068267/ea029459501ex99-1.htm https://www.sec.gov/Archives/edgar/data/2029138/000121390026069884/ea029524701ex99-1.htm</w:t>
      </w:r>
    </w:p>
    <w:p>
      <w:pPr>
        <w:spacing w:after="0" w:line="2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Ng Chen Lok</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Ng Chen Lok</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Ng Chen Lok/Chief Executive Officer, Chairman</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of the Board and Director of Sagtec Global</w:t>
      </w:r>
    </w:p>
    <w:p>
      <w:pPr>
        <w:ind w:left="6740"/>
        <w:spacing w:after="0"/>
        <w:rPr>
          <w:sz w:val="20"/>
          <w:szCs w:val="20"/>
          <w:color w:val="auto"/>
        </w:rPr>
      </w:pPr>
      <w:r>
        <w:rPr>
          <w:rFonts w:ascii="Times New Roman" w:cs="Times New Roman" w:eastAsia="Times New Roman" w:hAnsi="Times New Roman"/>
          <w:sz w:val="22"/>
          <w:szCs w:val="22"/>
          <w:color w:val="auto"/>
        </w:rPr>
        <w:t>Limited</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06/29/2026</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2026-06-29T15:10:08Z</dcterms:created>
  <dcterms:modified xsi:type="dcterms:W3CDTF">2026-06-29T15:10:08Z</dcterms:modified>
</cp:coreProperties>
</file>