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SAGTEC GLOBAL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Ng Chen Lok</w:t>
              <w:br/>
              <w:t>Lot 6-2, Level 9, Equatorial Plaza, Jalan Sultan Ismail</w:t>
              <w:br/>
              <w:t>Kuala Lumpur, N8, 50250</w:t>
              <w:br/>
              <w:t>603-3310 0089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5"/>
        <w:gridCol w:w="7910"/>
      </w:tblGrid>
      <w:tr>
        <w:trPr/>
        <w:tc>
          <w:tcPr>
            <w:tcW w:w="2295"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Ng Chen Lok</w:t>
            </w:r>
          </w:p>
        </w:tc>
      </w:tr>
      <w:tr>
        <w:trPr/>
        <w:tc>
          <w:tcPr>
            <w:tcW w:w="2295" w:type="dxa"/>
            <w:tcBorders/>
            <w:vAlign w:val="center"/>
          </w:tcPr>
          <w:p>
            <w:pPr>
              <w:pStyle w:val="TableContents"/>
              <w:bidi w:val="0"/>
              <w:spacing w:before="0" w:after="283"/>
              <w:jc w:val="left"/>
              <w:rPr/>
            </w:pPr>
            <w:r>
              <w:rPr/>
              <w:t>2</w:t>
            </w:r>
          </w:p>
        </w:tc>
        <w:tc>
          <w:tcPr>
            <w:tcW w:w="79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5" w:type="dxa"/>
            <w:tcBorders/>
            <w:vAlign w:val="center"/>
          </w:tcPr>
          <w:p>
            <w:pPr>
              <w:pStyle w:val="TableContents"/>
              <w:bidi w:val="0"/>
              <w:spacing w:before="0" w:after="283"/>
              <w:jc w:val="left"/>
              <w:rPr/>
            </w:pPr>
            <w:r>
              <w:rPr/>
              <w:t>3</w:t>
            </w:r>
          </w:p>
        </w:tc>
        <w:tc>
          <w:tcPr>
            <w:tcW w:w="7910" w:type="dxa"/>
            <w:tcBorders/>
            <w:vAlign w:val="center"/>
          </w:tcPr>
          <w:p>
            <w:pPr>
              <w:pStyle w:val="TableContents"/>
              <w:bidi w:val="0"/>
              <w:spacing w:before="0" w:after="283"/>
              <w:jc w:val="left"/>
              <w:rPr/>
            </w:pPr>
            <w:r>
              <w:rPr/>
              <w:t>SEC use only</w:t>
            </w:r>
          </w:p>
        </w:tc>
      </w:tr>
      <w:tr>
        <w:trPr/>
        <w:tc>
          <w:tcPr>
            <w:tcW w:w="2295" w:type="dxa"/>
            <w:tcBorders/>
            <w:vAlign w:val="center"/>
          </w:tcPr>
          <w:p>
            <w:pPr>
              <w:pStyle w:val="TableContents"/>
              <w:bidi w:val="0"/>
              <w:spacing w:before="0" w:after="283"/>
              <w:jc w:val="left"/>
              <w:rPr/>
            </w:pPr>
            <w:r>
              <w:rPr/>
              <w:t>4</w:t>
            </w:r>
          </w:p>
        </w:tc>
        <w:tc>
          <w:tcPr>
            <w:tcW w:w="791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5" w:type="dxa"/>
            <w:tcBorders/>
            <w:vAlign w:val="center"/>
          </w:tcPr>
          <w:p>
            <w:pPr>
              <w:pStyle w:val="TableContents"/>
              <w:bidi w:val="0"/>
              <w:spacing w:before="0" w:after="283"/>
              <w:jc w:val="left"/>
              <w:rPr/>
            </w:pPr>
            <w:r>
              <w:rPr/>
              <w:t>5</w:t>
            </w:r>
          </w:p>
        </w:tc>
        <w:tc>
          <w:tcPr>
            <w:tcW w:w="791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6</w:t>
            </w:r>
          </w:p>
        </w:tc>
        <w:tc>
          <w:tcPr>
            <w:tcW w:w="79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MALAYSIA </w:t>
            </w:r>
          </w:p>
        </w:tc>
      </w:tr>
      <w:tr>
        <w:trPr/>
        <w:tc>
          <w:tcPr>
            <w:tcW w:w="229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8,752,600.00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8,752,600.00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0" w:type="dxa"/>
            <w:tcBorders/>
            <w:vAlign w:val="center"/>
          </w:tcPr>
          <w:p>
            <w:pPr>
              <w:pStyle w:val="TableContents"/>
              <w:bidi w:val="0"/>
              <w:spacing w:before="0" w:after="283"/>
              <w:jc w:val="left"/>
              <w:rPr>
                <w:sz w:val="4"/>
                <w:szCs w:val="4"/>
              </w:rPr>
            </w:pPr>
            <w:r>
              <w:rPr>
                <w:sz w:val="4"/>
                <w:szCs w:val="4"/>
              </w:rPr>
            </w:r>
          </w:p>
        </w:tc>
      </w:tr>
      <w:tr>
        <w:trPr/>
        <w:tc>
          <w:tcPr>
            <w:tcW w:w="2295" w:type="dxa"/>
            <w:tcBorders/>
            <w:vAlign w:val="center"/>
          </w:tcPr>
          <w:p>
            <w:pPr>
              <w:pStyle w:val="TableContents"/>
              <w:bidi w:val="0"/>
              <w:spacing w:before="0" w:after="283"/>
              <w:jc w:val="left"/>
              <w:rPr/>
            </w:pPr>
            <w:r>
              <w:rPr/>
              <w:t>11</w:t>
            </w:r>
          </w:p>
        </w:tc>
        <w:tc>
          <w:tcPr>
            <w:tcW w:w="79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8,752,600.00</w:t>
            </w:r>
          </w:p>
        </w:tc>
      </w:tr>
      <w:tr>
        <w:trPr/>
        <w:tc>
          <w:tcPr>
            <w:tcW w:w="2295" w:type="dxa"/>
            <w:tcBorders/>
            <w:vAlign w:val="center"/>
          </w:tcPr>
          <w:p>
            <w:pPr>
              <w:pStyle w:val="TableContents"/>
              <w:bidi w:val="0"/>
              <w:spacing w:before="0" w:after="283"/>
              <w:jc w:val="left"/>
              <w:rPr/>
            </w:pPr>
            <w:r>
              <w:rPr/>
              <w:t>12</w:t>
            </w:r>
          </w:p>
        </w:tc>
        <w:tc>
          <w:tcPr>
            <w:tcW w:w="791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13</w:t>
            </w:r>
          </w:p>
        </w:tc>
        <w:tc>
          <w:tcPr>
            <w:tcW w:w="791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41.78 % </w:t>
            </w:r>
          </w:p>
        </w:tc>
      </w:tr>
      <w:tr>
        <w:trPr/>
        <w:tc>
          <w:tcPr>
            <w:tcW w:w="2295" w:type="dxa"/>
            <w:tcBorders/>
            <w:vAlign w:val="center"/>
          </w:tcPr>
          <w:p>
            <w:pPr>
              <w:pStyle w:val="TableContents"/>
              <w:bidi w:val="0"/>
              <w:spacing w:before="0" w:after="283"/>
              <w:jc w:val="left"/>
              <w:rPr/>
            </w:pPr>
            <w:r>
              <w:rPr/>
              <w:t>14</w:t>
            </w:r>
          </w:p>
        </w:tc>
        <w:tc>
          <w:tcPr>
            <w:tcW w:w="79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2"/>
        <w:gridCol w:w="9063"/>
      </w:tblGrid>
      <w:tr>
        <w:trPr/>
        <w:tc>
          <w:tcPr>
            <w:tcW w:w="1142" w:type="dxa"/>
            <w:tcBorders/>
            <w:vAlign w:val="center"/>
          </w:tcPr>
          <w:p>
            <w:pPr>
              <w:pStyle w:val="TableContents"/>
              <w:bidi w:val="0"/>
              <w:spacing w:before="0" w:after="283"/>
              <w:jc w:val="left"/>
              <w:rPr/>
            </w:pPr>
            <w:r>
              <w:rPr/>
              <w:t>Item 1.</w:t>
            </w:r>
          </w:p>
        </w:tc>
        <w:tc>
          <w:tcPr>
            <w:tcW w:w="9063" w:type="dxa"/>
            <w:tcBorders/>
            <w:vAlign w:val="center"/>
          </w:tcPr>
          <w:p>
            <w:pPr>
              <w:pStyle w:val="TableContents"/>
              <w:bidi w:val="0"/>
              <w:spacing w:before="0" w:after="283"/>
              <w:jc w:val="left"/>
              <w:rPr/>
            </w:pPr>
            <w:r>
              <w:rPr/>
              <w:t>Security and Issuer</w:t>
            </w:r>
          </w:p>
        </w:tc>
      </w:tr>
      <w:tr>
        <w:trPr/>
        <w:tc>
          <w:tcPr>
            <w:tcW w:w="1142" w:type="dxa"/>
            <w:tcBorders/>
            <w:vAlign w:val="center"/>
          </w:tcPr>
          <w:p>
            <w:pPr>
              <w:pStyle w:val="TableContents"/>
              <w:bidi w:val="0"/>
              <w:spacing w:before="0" w:after="283"/>
              <w:jc w:val="left"/>
              <w:rPr/>
            </w:pPr>
            <w:r>
              <w:rPr/>
              <w:t>(a)</w:t>
            </w:r>
          </w:p>
        </w:tc>
        <w:tc>
          <w:tcPr>
            <w:tcW w:w="906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r>
      <w:tr>
        <w:trPr/>
        <w:tc>
          <w:tcPr>
            <w:tcW w:w="1142" w:type="dxa"/>
            <w:tcBorders/>
            <w:vAlign w:val="center"/>
          </w:tcPr>
          <w:p>
            <w:pPr>
              <w:pStyle w:val="TableContents"/>
              <w:bidi w:val="0"/>
              <w:spacing w:before="0" w:after="283"/>
              <w:jc w:val="left"/>
              <w:rPr/>
            </w:pPr>
            <w:r>
              <w:rPr/>
              <w:t>(b)</w:t>
            </w:r>
          </w:p>
        </w:tc>
        <w:tc>
          <w:tcPr>
            <w:tcW w:w="9063" w:type="dxa"/>
            <w:tcBorders/>
            <w:vAlign w:val="center"/>
          </w:tcPr>
          <w:p>
            <w:pPr>
              <w:pStyle w:val="TableContents"/>
              <w:bidi w:val="0"/>
              <w:jc w:val="left"/>
              <w:rPr/>
            </w:pPr>
            <w:r>
              <w:rPr/>
              <w:t xml:space="preserve">Name of Issuer: </w:t>
            </w:r>
          </w:p>
          <w:p>
            <w:pPr>
              <w:pStyle w:val="TableContents"/>
              <w:bidi w:val="0"/>
              <w:spacing w:before="0" w:after="0"/>
              <w:jc w:val="left"/>
              <w:rPr/>
            </w:pPr>
            <w:r>
              <w:rPr/>
              <w:t>SAGTEC GLOBAL LIMITED</w:t>
            </w:r>
          </w:p>
        </w:tc>
      </w:tr>
      <w:tr>
        <w:trPr/>
        <w:tc>
          <w:tcPr>
            <w:tcW w:w="1142" w:type="dxa"/>
            <w:tcBorders/>
            <w:vAlign w:val="center"/>
          </w:tcPr>
          <w:p>
            <w:pPr>
              <w:pStyle w:val="TableContents"/>
              <w:bidi w:val="0"/>
              <w:spacing w:before="0" w:after="283"/>
              <w:jc w:val="left"/>
              <w:rPr/>
            </w:pPr>
            <w:r>
              <w:rPr/>
              <w:t>(c)</w:t>
            </w:r>
          </w:p>
        </w:tc>
        <w:tc>
          <w:tcPr>
            <w:tcW w:w="906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Lot 6-2, Level 9, Equatorial Plaza, Jalan Sultan Ismail, Kuala Lumpur, MALAYSIA , 50250.</w:t>
            </w:r>
          </w:p>
        </w:tc>
      </w:tr>
      <w:tr>
        <w:trPr/>
        <w:tc>
          <w:tcPr>
            <w:tcW w:w="1142" w:type="dxa"/>
            <w:tcBorders/>
            <w:vAlign w:val="center"/>
          </w:tcPr>
          <w:p>
            <w:pPr>
              <w:pStyle w:val="TableContents"/>
              <w:bidi w:val="0"/>
              <w:spacing w:before="0" w:after="283"/>
              <w:jc w:val="left"/>
              <w:rPr/>
            </w:pPr>
            <w:r>
              <w:rPr/>
              <w:t>Item 2.</w:t>
            </w:r>
          </w:p>
        </w:tc>
        <w:tc>
          <w:tcPr>
            <w:tcW w:w="9063" w:type="dxa"/>
            <w:tcBorders/>
            <w:vAlign w:val="center"/>
          </w:tcPr>
          <w:p>
            <w:pPr>
              <w:pStyle w:val="TableContents"/>
              <w:bidi w:val="0"/>
              <w:spacing w:before="0" w:after="283"/>
              <w:jc w:val="left"/>
              <w:rPr/>
            </w:pPr>
            <w:r>
              <w:rPr/>
              <w:t>Identity and Background</w:t>
            </w:r>
          </w:p>
        </w:tc>
      </w:tr>
      <w:tr>
        <w:trPr/>
        <w:tc>
          <w:tcPr>
            <w:tcW w:w="1142" w:type="dxa"/>
            <w:tcBorders/>
            <w:vAlign w:val="center"/>
          </w:tcPr>
          <w:p>
            <w:pPr>
              <w:pStyle w:val="TableContents"/>
              <w:bidi w:val="0"/>
              <w:spacing w:before="0" w:after="283"/>
              <w:jc w:val="left"/>
              <w:rPr/>
            </w:pPr>
            <w:r>
              <w:rPr/>
              <w:t>(a)</w:t>
            </w:r>
          </w:p>
        </w:tc>
        <w:tc>
          <w:tcPr>
            <w:tcW w:w="9063" w:type="dxa"/>
            <w:tcBorders/>
            <w:vAlign w:val="center"/>
          </w:tcPr>
          <w:p>
            <w:pPr>
              <w:pStyle w:val="TableContents"/>
              <w:bidi w:val="0"/>
              <w:spacing w:before="0" w:after="0"/>
              <w:jc w:val="left"/>
              <w:rPr/>
            </w:pPr>
            <w:r>
              <w:rPr/>
              <w:t>Ng Chen Lok</w:t>
            </w:r>
          </w:p>
        </w:tc>
      </w:tr>
      <w:tr>
        <w:trPr/>
        <w:tc>
          <w:tcPr>
            <w:tcW w:w="1142" w:type="dxa"/>
            <w:tcBorders/>
            <w:vAlign w:val="center"/>
          </w:tcPr>
          <w:p>
            <w:pPr>
              <w:pStyle w:val="TableContents"/>
              <w:bidi w:val="0"/>
              <w:spacing w:before="0" w:after="283"/>
              <w:jc w:val="left"/>
              <w:rPr/>
            </w:pPr>
            <w:r>
              <w:rPr/>
              <w:t>(b)</w:t>
            </w:r>
          </w:p>
        </w:tc>
        <w:tc>
          <w:tcPr>
            <w:tcW w:w="9063" w:type="dxa"/>
            <w:tcBorders/>
            <w:vAlign w:val="center"/>
          </w:tcPr>
          <w:p>
            <w:pPr>
              <w:pStyle w:val="TableContents"/>
              <w:bidi w:val="0"/>
              <w:spacing w:before="0" w:after="0"/>
              <w:jc w:val="left"/>
              <w:rPr/>
            </w:pPr>
            <w:r>
              <w:rPr/>
              <w:t>Lot 6-2, Level 9, Equatorial Plaza, Jalan Sultan Ismail, 50250 Kuala Lumpur, Malaysia</w:t>
            </w:r>
          </w:p>
        </w:tc>
      </w:tr>
      <w:tr>
        <w:trPr/>
        <w:tc>
          <w:tcPr>
            <w:tcW w:w="1142" w:type="dxa"/>
            <w:tcBorders/>
            <w:vAlign w:val="center"/>
          </w:tcPr>
          <w:p>
            <w:pPr>
              <w:pStyle w:val="TableContents"/>
              <w:bidi w:val="0"/>
              <w:spacing w:before="0" w:after="283"/>
              <w:jc w:val="left"/>
              <w:rPr/>
            </w:pPr>
            <w:r>
              <w:rPr/>
              <w:t>(c)</w:t>
            </w:r>
          </w:p>
        </w:tc>
        <w:tc>
          <w:tcPr>
            <w:tcW w:w="9063" w:type="dxa"/>
            <w:tcBorders/>
            <w:vAlign w:val="center"/>
          </w:tcPr>
          <w:p>
            <w:pPr>
              <w:pStyle w:val="TableContents"/>
              <w:bidi w:val="0"/>
              <w:spacing w:before="0" w:after="0"/>
              <w:jc w:val="left"/>
              <w:rPr/>
            </w:pPr>
            <w:r>
              <w:rPr/>
              <w:t>The Reporting Person is the Chief Executive Officer, Chairman of the Board and Director of the Issuer. The address of the Issuer is Lot 6-2, Level 9, Equatorial Plaza, Jalan Sultan Ismail, 50250 Kuala Lumpur, Malaysia</w:t>
            </w:r>
          </w:p>
        </w:tc>
      </w:tr>
      <w:tr>
        <w:trPr/>
        <w:tc>
          <w:tcPr>
            <w:tcW w:w="1142" w:type="dxa"/>
            <w:tcBorders/>
            <w:vAlign w:val="center"/>
          </w:tcPr>
          <w:p>
            <w:pPr>
              <w:pStyle w:val="TableContents"/>
              <w:bidi w:val="0"/>
              <w:spacing w:before="0" w:after="283"/>
              <w:jc w:val="left"/>
              <w:rPr/>
            </w:pPr>
            <w:r>
              <w:rPr/>
              <w:t>(d)</w:t>
            </w:r>
          </w:p>
        </w:tc>
        <w:tc>
          <w:tcPr>
            <w:tcW w:w="9063" w:type="dxa"/>
            <w:tcBorders/>
            <w:vAlign w:val="center"/>
          </w:tcPr>
          <w:p>
            <w:pPr>
              <w:pStyle w:val="TableContents"/>
              <w:bidi w:val="0"/>
              <w:spacing w:before="0" w:after="0"/>
              <w:jc w:val="left"/>
              <w:rPr/>
            </w:pPr>
            <w:r>
              <w:rPr/>
              <w:t>No</w:t>
            </w:r>
          </w:p>
        </w:tc>
      </w:tr>
      <w:tr>
        <w:trPr/>
        <w:tc>
          <w:tcPr>
            <w:tcW w:w="1142" w:type="dxa"/>
            <w:tcBorders/>
            <w:vAlign w:val="center"/>
          </w:tcPr>
          <w:p>
            <w:pPr>
              <w:pStyle w:val="TableContents"/>
              <w:bidi w:val="0"/>
              <w:spacing w:before="0" w:after="283"/>
              <w:jc w:val="left"/>
              <w:rPr/>
            </w:pPr>
            <w:r>
              <w:rPr/>
              <w:t>(e)</w:t>
            </w:r>
          </w:p>
        </w:tc>
        <w:tc>
          <w:tcPr>
            <w:tcW w:w="9063" w:type="dxa"/>
            <w:tcBorders/>
            <w:vAlign w:val="center"/>
          </w:tcPr>
          <w:p>
            <w:pPr>
              <w:pStyle w:val="TableContents"/>
              <w:bidi w:val="0"/>
              <w:spacing w:before="0" w:after="0"/>
              <w:jc w:val="left"/>
              <w:rPr/>
            </w:pPr>
            <w:r>
              <w:rPr/>
              <w:t>No</w:t>
            </w:r>
          </w:p>
        </w:tc>
      </w:tr>
      <w:tr>
        <w:trPr/>
        <w:tc>
          <w:tcPr>
            <w:tcW w:w="1142" w:type="dxa"/>
            <w:tcBorders/>
            <w:vAlign w:val="center"/>
          </w:tcPr>
          <w:p>
            <w:pPr>
              <w:pStyle w:val="TableContents"/>
              <w:bidi w:val="0"/>
              <w:spacing w:before="0" w:after="283"/>
              <w:jc w:val="left"/>
              <w:rPr/>
            </w:pPr>
            <w:r>
              <w:rPr/>
              <w:t>(f)</w:t>
            </w:r>
          </w:p>
        </w:tc>
        <w:tc>
          <w:tcPr>
            <w:tcW w:w="9063" w:type="dxa"/>
            <w:tcBorders/>
            <w:vAlign w:val="center"/>
          </w:tcPr>
          <w:p>
            <w:pPr>
              <w:pStyle w:val="TableContents"/>
              <w:bidi w:val="0"/>
              <w:spacing w:before="0" w:after="0"/>
              <w:jc w:val="left"/>
              <w:rPr/>
            </w:pPr>
            <w:r>
              <w:rPr/>
              <w:t>Malaysia</w:t>
            </w:r>
          </w:p>
        </w:tc>
      </w:tr>
      <w:tr>
        <w:trPr/>
        <w:tc>
          <w:tcPr>
            <w:tcW w:w="1142" w:type="dxa"/>
            <w:tcBorders/>
            <w:vAlign w:val="center"/>
          </w:tcPr>
          <w:p>
            <w:pPr>
              <w:pStyle w:val="TableContents"/>
              <w:bidi w:val="0"/>
              <w:spacing w:before="0" w:after="283"/>
              <w:jc w:val="left"/>
              <w:rPr/>
            </w:pPr>
            <w:r>
              <w:rPr/>
              <w:t>Item 3.</w:t>
            </w:r>
          </w:p>
        </w:tc>
        <w:tc>
          <w:tcPr>
            <w:tcW w:w="9063" w:type="dxa"/>
            <w:tcBorders/>
            <w:vAlign w:val="center"/>
          </w:tcPr>
          <w:p>
            <w:pPr>
              <w:pStyle w:val="TableContents"/>
              <w:bidi w:val="0"/>
              <w:spacing w:before="0" w:after="283"/>
              <w:jc w:val="left"/>
              <w:rPr/>
            </w:pPr>
            <w:r>
              <w:rPr/>
              <w:t>Source and Amount of Funds or Other Consideration</w:t>
            </w:r>
          </w:p>
        </w:tc>
      </w:tr>
      <w:tr>
        <w:trPr/>
        <w:tc>
          <w:tcPr>
            <w:tcW w:w="1142"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0"/>
              <w:jc w:val="left"/>
              <w:rPr/>
            </w:pPr>
            <w:r>
              <w:rPr/>
              <w:t>PF and OO. Ng Chen Lok acquired 300,000 Class A Ordinary Shares beneficially owned by him from an existing public shareholder through a privately negotiated transaction completed on July 31, 2026.</w:t>
            </w:r>
          </w:p>
        </w:tc>
      </w:tr>
      <w:tr>
        <w:trPr/>
        <w:tc>
          <w:tcPr>
            <w:tcW w:w="1142" w:type="dxa"/>
            <w:tcBorders/>
            <w:vAlign w:val="center"/>
          </w:tcPr>
          <w:p>
            <w:pPr>
              <w:pStyle w:val="TableContents"/>
              <w:bidi w:val="0"/>
              <w:spacing w:before="0" w:after="283"/>
              <w:jc w:val="left"/>
              <w:rPr/>
            </w:pPr>
            <w:r>
              <w:rPr/>
              <w:t>Item 4.</w:t>
            </w:r>
          </w:p>
        </w:tc>
        <w:tc>
          <w:tcPr>
            <w:tcW w:w="9063" w:type="dxa"/>
            <w:tcBorders/>
            <w:vAlign w:val="center"/>
          </w:tcPr>
          <w:p>
            <w:pPr>
              <w:pStyle w:val="TableContents"/>
              <w:bidi w:val="0"/>
              <w:spacing w:before="0" w:after="283"/>
              <w:jc w:val="left"/>
              <w:rPr/>
            </w:pPr>
            <w:r>
              <w:rPr/>
              <w:t>Purpose of Transaction</w:t>
            </w:r>
          </w:p>
        </w:tc>
      </w:tr>
      <w:tr>
        <w:trPr/>
        <w:tc>
          <w:tcPr>
            <w:tcW w:w="1142"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0"/>
              <w:jc w:val="left"/>
              <w:rPr/>
            </w:pPr>
            <w:r>
              <w:rPr/>
              <w:t>The Reporting Person acquired 300,000 Class A Ordinary Shares beneficially owned by him from an existing public shareholder through a privately negotiated transaction completed on July 31, 2026. The Reporting Person serves as Chief Executive Officer, Chairman of the Board and Director of the Issuer and, as a result, may be asked to vote on or discuss matters related to items (a) through (j) of this Item 4 of Schedule 13D with representatives of the Issuer and others. Except as may be set forth herein, the Reporting Person has no current intention, plan or proposal with respect to items (a) through (j) of Item 4 of Schedule 13D.</w:t>
            </w:r>
          </w:p>
        </w:tc>
      </w:tr>
      <w:tr>
        <w:trPr/>
        <w:tc>
          <w:tcPr>
            <w:tcW w:w="1142" w:type="dxa"/>
            <w:tcBorders/>
            <w:vAlign w:val="center"/>
          </w:tcPr>
          <w:p>
            <w:pPr>
              <w:pStyle w:val="TableContents"/>
              <w:bidi w:val="0"/>
              <w:spacing w:before="0" w:after="283"/>
              <w:jc w:val="left"/>
              <w:rPr/>
            </w:pPr>
            <w:r>
              <w:rPr/>
              <w:t>Item 5.</w:t>
            </w:r>
          </w:p>
        </w:tc>
        <w:tc>
          <w:tcPr>
            <w:tcW w:w="9063" w:type="dxa"/>
            <w:tcBorders/>
            <w:vAlign w:val="center"/>
          </w:tcPr>
          <w:p>
            <w:pPr>
              <w:pStyle w:val="TableContents"/>
              <w:bidi w:val="0"/>
              <w:spacing w:before="0" w:after="283"/>
              <w:jc w:val="left"/>
              <w:rPr/>
            </w:pPr>
            <w:r>
              <w:rPr/>
              <w:t>Interest in Securities of the Issuer</w:t>
            </w:r>
          </w:p>
        </w:tc>
      </w:tr>
      <w:tr>
        <w:trPr/>
        <w:tc>
          <w:tcPr>
            <w:tcW w:w="1142" w:type="dxa"/>
            <w:tcBorders/>
            <w:vAlign w:val="center"/>
          </w:tcPr>
          <w:p>
            <w:pPr>
              <w:pStyle w:val="TableContents"/>
              <w:bidi w:val="0"/>
              <w:spacing w:before="0" w:after="283"/>
              <w:jc w:val="left"/>
              <w:rPr/>
            </w:pPr>
            <w:r>
              <w:rPr/>
              <w:t>(a)</w:t>
            </w:r>
          </w:p>
        </w:tc>
        <w:tc>
          <w:tcPr>
            <w:tcW w:w="9063" w:type="dxa"/>
            <w:tcBorders/>
            <w:vAlign w:val="center"/>
          </w:tcPr>
          <w:p>
            <w:pPr>
              <w:pStyle w:val="TableContents"/>
              <w:bidi w:val="0"/>
              <w:spacing w:before="0" w:after="0"/>
              <w:jc w:val="left"/>
              <w:rPr/>
            </w:pPr>
            <w:r>
              <w:rPr/>
              <w:t>Based on the disclosure in this statement and the foregoing, the aggregate number and percentage of Ordinary Shares of the Issuer owned by the Reporting Person is 8,752,600, constituting 41.78% of Ordinary Shares issued and outstanding as of the date hereof.</w:t>
            </w:r>
          </w:p>
        </w:tc>
      </w:tr>
      <w:tr>
        <w:trPr/>
        <w:tc>
          <w:tcPr>
            <w:tcW w:w="1142" w:type="dxa"/>
            <w:tcBorders/>
            <w:vAlign w:val="center"/>
          </w:tcPr>
          <w:p>
            <w:pPr>
              <w:pStyle w:val="TableContents"/>
              <w:bidi w:val="0"/>
              <w:spacing w:before="0" w:after="283"/>
              <w:jc w:val="left"/>
              <w:rPr/>
            </w:pPr>
            <w:r>
              <w:rPr/>
              <w:t>(b)</w:t>
            </w:r>
          </w:p>
        </w:tc>
        <w:tc>
          <w:tcPr>
            <w:tcW w:w="9063" w:type="dxa"/>
            <w:tcBorders/>
            <w:vAlign w:val="center"/>
          </w:tcPr>
          <w:p>
            <w:pPr>
              <w:pStyle w:val="TableContents"/>
              <w:bidi w:val="0"/>
              <w:spacing w:before="0" w:after="0"/>
              <w:jc w:val="left"/>
              <w:rPr/>
            </w:pPr>
            <w:r>
              <w:rPr/>
              <w:t>The Reporting Person has sole voting and dispositive power over 8,752,600 Ordinary Shares.</w:t>
            </w:r>
          </w:p>
        </w:tc>
      </w:tr>
      <w:tr>
        <w:trPr/>
        <w:tc>
          <w:tcPr>
            <w:tcW w:w="1142" w:type="dxa"/>
            <w:tcBorders/>
            <w:vAlign w:val="center"/>
          </w:tcPr>
          <w:p>
            <w:pPr>
              <w:pStyle w:val="TableContents"/>
              <w:bidi w:val="0"/>
              <w:spacing w:before="0" w:after="283"/>
              <w:jc w:val="left"/>
              <w:rPr/>
            </w:pPr>
            <w:r>
              <w:rPr/>
              <w:t>(c)</w:t>
            </w:r>
          </w:p>
        </w:tc>
        <w:tc>
          <w:tcPr>
            <w:tcW w:w="9063" w:type="dxa"/>
            <w:tcBorders/>
            <w:vAlign w:val="center"/>
          </w:tcPr>
          <w:p>
            <w:pPr>
              <w:pStyle w:val="TableContents"/>
              <w:bidi w:val="0"/>
              <w:spacing w:before="0" w:after="0"/>
              <w:jc w:val="left"/>
              <w:rPr/>
            </w:pPr>
            <w:r>
              <w:rPr/>
              <w:t>The Reporting Person entered into a Private Subscription Agreement with the Company on June 17, 2026, for the purchase of 1,500,000 Class A Ordinary Shares at a a purchase price of US$1.04 per share, for an aggregate subscription amount of US$1,560,000. The purchase price was determined with reference to the market price of the Company's Class A Ordinary Shares as of June 17, 2026. The Reporting Person was also awarded 415,000 Class A Ordinary Shares as supplemental equity compensation on May 15, 2026, for his continued service to the Company during the 2026 financial year.</w:t>
            </w:r>
          </w:p>
        </w:tc>
      </w:tr>
      <w:tr>
        <w:trPr/>
        <w:tc>
          <w:tcPr>
            <w:tcW w:w="1142" w:type="dxa"/>
            <w:tcBorders/>
            <w:vAlign w:val="center"/>
          </w:tcPr>
          <w:p>
            <w:pPr>
              <w:pStyle w:val="TableContents"/>
              <w:bidi w:val="0"/>
              <w:spacing w:before="0" w:after="283"/>
              <w:jc w:val="left"/>
              <w:rPr/>
            </w:pPr>
            <w:r>
              <w:rPr/>
              <w:t>(d)</w:t>
            </w:r>
          </w:p>
        </w:tc>
        <w:tc>
          <w:tcPr>
            <w:tcW w:w="9063" w:type="dxa"/>
            <w:tcBorders/>
            <w:vAlign w:val="center"/>
          </w:tcPr>
          <w:p>
            <w:pPr>
              <w:pStyle w:val="TableContents"/>
              <w:bidi w:val="0"/>
              <w:spacing w:before="0" w:after="0"/>
              <w:jc w:val="left"/>
              <w:rPr/>
            </w:pPr>
            <w:r>
              <w:rPr/>
              <w:t>None</w:t>
            </w:r>
          </w:p>
        </w:tc>
      </w:tr>
      <w:tr>
        <w:trPr/>
        <w:tc>
          <w:tcPr>
            <w:tcW w:w="1142" w:type="dxa"/>
            <w:tcBorders/>
            <w:vAlign w:val="center"/>
          </w:tcPr>
          <w:p>
            <w:pPr>
              <w:pStyle w:val="TableContents"/>
              <w:bidi w:val="0"/>
              <w:spacing w:before="0" w:after="283"/>
              <w:jc w:val="left"/>
              <w:rPr/>
            </w:pPr>
            <w:r>
              <w:rPr/>
              <w:t>(e)</w:t>
            </w:r>
          </w:p>
        </w:tc>
        <w:tc>
          <w:tcPr>
            <w:tcW w:w="9063" w:type="dxa"/>
            <w:tcBorders/>
            <w:vAlign w:val="center"/>
          </w:tcPr>
          <w:p>
            <w:pPr>
              <w:pStyle w:val="TableContents"/>
              <w:bidi w:val="0"/>
              <w:spacing w:before="0" w:after="0"/>
              <w:jc w:val="left"/>
              <w:rPr/>
            </w:pPr>
            <w:r>
              <w:rPr/>
              <w:t>N/A</w:t>
            </w:r>
          </w:p>
        </w:tc>
      </w:tr>
      <w:tr>
        <w:trPr/>
        <w:tc>
          <w:tcPr>
            <w:tcW w:w="1142" w:type="dxa"/>
            <w:tcBorders/>
            <w:vAlign w:val="center"/>
          </w:tcPr>
          <w:p>
            <w:pPr>
              <w:pStyle w:val="TableContents"/>
              <w:bidi w:val="0"/>
              <w:spacing w:before="0" w:after="283"/>
              <w:jc w:val="left"/>
              <w:rPr/>
            </w:pPr>
            <w:r>
              <w:rPr/>
              <w:t>Item 6.</w:t>
            </w:r>
          </w:p>
        </w:tc>
        <w:tc>
          <w:tcPr>
            <w:tcW w:w="906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2"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0"/>
              <w:jc w:val="left"/>
              <w:rPr/>
            </w:pPr>
            <w:r>
              <w:rPr/>
              <w:t>The Reporting Person acquired 300,000 Class A Ordinary Shares beneficially owned by him from an existing public shareholder through a privately negotiated transaction completed on July 31,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Ng Chen Lok</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Ng Chen Lok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Ng Chen Lok/Chief Executive Officer, Chairman of the Board and Director of Sagtec Global Limited</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836</Words>
  <Characters>4299</Characters>
  <CharactersWithSpaces>5071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